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5E" w:rsidRPr="0087125E" w:rsidRDefault="0087125E" w:rsidP="0087125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125E">
        <w:rPr>
          <w:rFonts w:ascii="Times New Roman" w:hAnsi="Times New Roman" w:cs="Times New Roman"/>
          <w:b/>
          <w:sz w:val="28"/>
          <w:szCs w:val="28"/>
          <w:u w:val="single"/>
        </w:rPr>
        <w:t>Awareness Skill #3 Worksheet</w:t>
      </w:r>
    </w:p>
    <w:p w:rsidR="00621DEE" w:rsidRDefault="00621DEE" w:rsidP="0087125E">
      <w:pPr>
        <w:pStyle w:val="Default"/>
        <w:jc w:val="center"/>
        <w:rPr>
          <w:rFonts w:ascii="Times New Roman" w:hAnsi="Times New Roman" w:cs="Times New Roman"/>
          <w:u w:val="single"/>
        </w:rPr>
      </w:pPr>
    </w:p>
    <w:p w:rsidR="0087125E" w:rsidRPr="0087125E" w:rsidRDefault="0087125E" w:rsidP="0087125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125E">
        <w:rPr>
          <w:rFonts w:ascii="Times New Roman" w:hAnsi="Times New Roman" w:cs="Times New Roman"/>
          <w:u w:val="single"/>
        </w:rPr>
        <w:t>Awareness that our TFM are not the same as us.</w:t>
      </w:r>
      <w:proofErr w:type="gramEnd"/>
      <w:r w:rsidRPr="0087125E">
        <w:rPr>
          <w:rFonts w:ascii="Times New Roman" w:hAnsi="Times New Roman" w:cs="Times New Roman"/>
          <w:u w:val="single"/>
        </w:rPr>
        <w:t xml:space="preserve">  We are not our minds, and our minds cannot tell us who we are.  Thoughts, feelings, and memories are experiences we have.</w:t>
      </w:r>
    </w:p>
    <w:p w:rsidR="0087125E" w:rsidRDefault="0087125E" w:rsidP="0087125E">
      <w:pPr>
        <w:pStyle w:val="Default"/>
        <w:rPr>
          <w:sz w:val="28"/>
          <w:szCs w:val="28"/>
        </w:rPr>
      </w:pPr>
    </w:p>
    <w:p w:rsidR="0087125E" w:rsidRDefault="0087125E" w:rsidP="0087125E">
      <w:pPr>
        <w:pStyle w:val="Default"/>
        <w:rPr>
          <w:rFonts w:ascii="Times New Roman" w:hAnsi="Times New Roman" w:cs="Times New Roman"/>
        </w:rPr>
      </w:pPr>
      <w:r w:rsidRPr="0087125E">
        <w:rPr>
          <w:rFonts w:ascii="Times New Roman" w:hAnsi="Times New Roman" w:cs="Times New Roman"/>
        </w:rPr>
        <w:t>Step 1:</w:t>
      </w:r>
      <w:r w:rsidRPr="0087125E">
        <w:rPr>
          <w:rFonts w:ascii="Times New Roman" w:hAnsi="Times New Roman" w:cs="Times New Roman"/>
        </w:rPr>
        <w:tab/>
        <w:t xml:space="preserve">Identify a </w:t>
      </w:r>
      <w:r w:rsidR="001062EA">
        <w:rPr>
          <w:rFonts w:ascii="Times New Roman" w:hAnsi="Times New Roman" w:cs="Times New Roman"/>
        </w:rPr>
        <w:t>thought (</w:t>
      </w:r>
      <w:r w:rsidRPr="0087125E">
        <w:rPr>
          <w:rFonts w:ascii="Times New Roman" w:hAnsi="Times New Roman" w:cs="Times New Roman"/>
        </w:rPr>
        <w:t>passenger</w:t>
      </w:r>
      <w:r w:rsidR="001062EA">
        <w:rPr>
          <w:rFonts w:ascii="Times New Roman" w:hAnsi="Times New Roman" w:cs="Times New Roman"/>
        </w:rPr>
        <w:t>)</w:t>
      </w:r>
      <w:r w:rsidRPr="0087125E">
        <w:rPr>
          <w:rFonts w:ascii="Times New Roman" w:hAnsi="Times New Roman" w:cs="Times New Roman"/>
        </w:rPr>
        <w:t xml:space="preserve"> that you hav</w:t>
      </w:r>
      <w:r w:rsidR="001062EA">
        <w:rPr>
          <w:rFonts w:ascii="Times New Roman" w:hAnsi="Times New Roman" w:cs="Times New Roman"/>
        </w:rPr>
        <w:t>e been treating as a known fact about you.</w:t>
      </w:r>
    </w:p>
    <w:p w:rsidR="0087125E" w:rsidRDefault="0087125E" w:rsidP="0087125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2: </w:t>
      </w:r>
      <w:r w:rsidRPr="0087125E">
        <w:rPr>
          <w:rFonts w:ascii="Times New Roman" w:hAnsi="Times New Roman" w:cs="Times New Roman"/>
        </w:rPr>
        <w:t>Say the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'</w:t>
      </w:r>
      <w:r w:rsidRPr="0087125E">
        <w:rPr>
          <w:rFonts w:ascii="Times New Roman" w:hAnsi="Times New Roman" w:cs="Times New Roman"/>
        </w:rPr>
        <w:t>passenger‘ (</w:t>
      </w:r>
      <w:proofErr w:type="gramEnd"/>
      <w:r w:rsidRPr="0087125E">
        <w:rPr>
          <w:rFonts w:ascii="Times New Roman" w:hAnsi="Times New Roman" w:cs="Times New Roman"/>
        </w:rPr>
        <w:t xml:space="preserve">usually in the form of a sentence) aloud, the way you typically hear </w:t>
      </w:r>
    </w:p>
    <w:p w:rsidR="0087125E" w:rsidRPr="0087125E" w:rsidRDefault="0087125E" w:rsidP="0087125E">
      <w:pPr>
        <w:pStyle w:val="Default"/>
        <w:ind w:firstLine="720"/>
        <w:rPr>
          <w:rFonts w:ascii="Times New Roman" w:hAnsi="Times New Roman" w:cs="Times New Roman"/>
        </w:rPr>
      </w:pPr>
      <w:proofErr w:type="gramStart"/>
      <w:r w:rsidRPr="0087125E">
        <w:rPr>
          <w:rFonts w:ascii="Times New Roman" w:hAnsi="Times New Roman" w:cs="Times New Roman"/>
        </w:rPr>
        <w:t>it</w:t>
      </w:r>
      <w:proofErr w:type="gramEnd"/>
      <w:r w:rsidRPr="0087125E">
        <w:rPr>
          <w:rFonts w:ascii="Times New Roman" w:hAnsi="Times New Roman" w:cs="Times New Roman"/>
        </w:rPr>
        <w:t xml:space="preserve"> in your own head.</w:t>
      </w:r>
    </w:p>
    <w:p w:rsidR="0087125E" w:rsidRPr="0087125E" w:rsidRDefault="0087125E" w:rsidP="0087125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3: </w:t>
      </w:r>
      <w:r w:rsidRPr="0087125E">
        <w:rPr>
          <w:rFonts w:ascii="Times New Roman" w:hAnsi="Times New Roman" w:cs="Times New Roman"/>
        </w:rPr>
        <w:t>Say it with an e</w:t>
      </w:r>
      <w:r w:rsidR="001062EA">
        <w:rPr>
          <w:rFonts w:ascii="Times New Roman" w:hAnsi="Times New Roman" w:cs="Times New Roman"/>
        </w:rPr>
        <w:t>ntirely different tone of voice.  Try some of these:</w:t>
      </w:r>
    </w:p>
    <w:p w:rsidR="0087125E" w:rsidRDefault="0087125E" w:rsidP="0087125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87125E">
        <w:rPr>
          <w:rFonts w:ascii="Times New Roman" w:hAnsi="Times New Roman" w:cs="Times New Roman"/>
        </w:rPr>
        <w:t xml:space="preserve">Say it </w:t>
      </w:r>
      <w:r>
        <w:rPr>
          <w:rFonts w:ascii="Times New Roman" w:hAnsi="Times New Roman" w:cs="Times New Roman"/>
        </w:rPr>
        <w:t>slower or faster</w:t>
      </w:r>
    </w:p>
    <w:p w:rsidR="0087125E" w:rsidRDefault="0087125E" w:rsidP="0087125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87125E">
        <w:rPr>
          <w:rFonts w:ascii="Times New Roman" w:hAnsi="Times New Roman" w:cs="Times New Roman"/>
        </w:rPr>
        <w:t>Say it with an accent</w:t>
      </w:r>
      <w:r w:rsidR="001062EA">
        <w:rPr>
          <w:rFonts w:ascii="Times New Roman" w:hAnsi="Times New Roman" w:cs="Times New Roman"/>
        </w:rPr>
        <w:t xml:space="preserve"> (e.g., Canadian, Cajun, </w:t>
      </w:r>
      <w:proofErr w:type="gramStart"/>
      <w:r w:rsidR="001062EA">
        <w:rPr>
          <w:rFonts w:ascii="Times New Roman" w:hAnsi="Times New Roman" w:cs="Times New Roman"/>
        </w:rPr>
        <w:t>Western</w:t>
      </w:r>
      <w:proofErr w:type="gramEnd"/>
      <w:r w:rsidR="001062EA">
        <w:rPr>
          <w:rFonts w:ascii="Times New Roman" w:hAnsi="Times New Roman" w:cs="Times New Roman"/>
        </w:rPr>
        <w:t>, Southern)</w:t>
      </w:r>
      <w:r w:rsidRPr="0087125E">
        <w:rPr>
          <w:rFonts w:ascii="Times New Roman" w:hAnsi="Times New Roman" w:cs="Times New Roman"/>
        </w:rPr>
        <w:t xml:space="preserve">. </w:t>
      </w:r>
    </w:p>
    <w:p w:rsidR="0087125E" w:rsidRDefault="0087125E" w:rsidP="0087125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87125E">
        <w:rPr>
          <w:rFonts w:ascii="Times New Roman" w:hAnsi="Times New Roman" w:cs="Times New Roman"/>
        </w:rPr>
        <w:t>Say it with some character‘s voice (e.g. John Wayne, Bugs Bunny)</w:t>
      </w:r>
      <w:r w:rsidR="001062EA">
        <w:rPr>
          <w:rFonts w:ascii="Times New Roman" w:hAnsi="Times New Roman" w:cs="Times New Roman"/>
        </w:rPr>
        <w:t>.</w:t>
      </w:r>
      <w:r w:rsidRPr="0087125E">
        <w:rPr>
          <w:rFonts w:ascii="Times New Roman" w:hAnsi="Times New Roman" w:cs="Times New Roman"/>
        </w:rPr>
        <w:t xml:space="preserve"> </w:t>
      </w:r>
    </w:p>
    <w:p w:rsidR="0087125E" w:rsidRDefault="0087125E" w:rsidP="0087125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87125E">
        <w:rPr>
          <w:rFonts w:ascii="Times New Roman" w:hAnsi="Times New Roman" w:cs="Times New Roman"/>
        </w:rPr>
        <w:t>Sing it to a melody</w:t>
      </w:r>
      <w:r w:rsidR="001062EA">
        <w:rPr>
          <w:rFonts w:ascii="Times New Roman" w:hAnsi="Times New Roman" w:cs="Times New Roman"/>
        </w:rPr>
        <w:t xml:space="preserve"> (e.g., Rap, Country, Jazz, Rock, Musical, </w:t>
      </w:r>
      <w:proofErr w:type="gramStart"/>
      <w:r w:rsidR="001062EA">
        <w:rPr>
          <w:rFonts w:ascii="Times New Roman" w:hAnsi="Times New Roman" w:cs="Times New Roman"/>
        </w:rPr>
        <w:t>Children's</w:t>
      </w:r>
      <w:proofErr w:type="gramEnd"/>
      <w:r w:rsidR="001062EA">
        <w:rPr>
          <w:rFonts w:ascii="Times New Roman" w:hAnsi="Times New Roman" w:cs="Times New Roman"/>
        </w:rPr>
        <w:t xml:space="preserve"> Music)</w:t>
      </w:r>
      <w:r w:rsidRPr="0087125E">
        <w:rPr>
          <w:rFonts w:ascii="Times New Roman" w:hAnsi="Times New Roman" w:cs="Times New Roman"/>
        </w:rPr>
        <w:t xml:space="preserve">. </w:t>
      </w:r>
    </w:p>
    <w:p w:rsidR="0087125E" w:rsidRDefault="0087125E" w:rsidP="0087125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again, s</w:t>
      </w:r>
      <w:r w:rsidRPr="0087125E">
        <w:rPr>
          <w:rFonts w:ascii="Times New Roman" w:hAnsi="Times New Roman" w:cs="Times New Roman"/>
        </w:rPr>
        <w:t xml:space="preserve">ay it aloud the way you typically hear it in your head. </w:t>
      </w:r>
    </w:p>
    <w:p w:rsidR="0087125E" w:rsidRDefault="0087125E" w:rsidP="0087125E">
      <w:pPr>
        <w:pStyle w:val="Default"/>
        <w:ind w:left="1440"/>
        <w:rPr>
          <w:rFonts w:ascii="Times New Roman" w:hAnsi="Times New Roman" w:cs="Times New Roman"/>
        </w:rPr>
      </w:pPr>
    </w:p>
    <w:p w:rsidR="00621DEE" w:rsidRPr="0087125E" w:rsidRDefault="00621DEE" w:rsidP="0087125E">
      <w:pPr>
        <w:pStyle w:val="Default"/>
        <w:ind w:left="1440"/>
        <w:rPr>
          <w:rFonts w:ascii="Times New Roman" w:hAnsi="Times New Roman" w:cs="Times New Roman"/>
        </w:rPr>
      </w:pPr>
    </w:p>
    <w:p w:rsidR="00621DEE" w:rsidRDefault="0087125E" w:rsidP="0087125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beginning to notice that </w:t>
      </w:r>
      <w:proofErr w:type="gramStart"/>
      <w:r>
        <w:rPr>
          <w:rFonts w:ascii="Times New Roman" w:hAnsi="Times New Roman" w:cs="Times New Roman"/>
        </w:rPr>
        <w:t>t</w:t>
      </w:r>
      <w:r w:rsidRPr="0087125E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 xml:space="preserve"> </w:t>
      </w:r>
      <w:r w:rsidRPr="0087125E">
        <w:rPr>
          <w:rFonts w:ascii="Times New Roman" w:hAnsi="Times New Roman" w:cs="Times New Roman"/>
        </w:rPr>
        <w:t>typical</w:t>
      </w:r>
      <w:proofErr w:type="gramEnd"/>
      <w:r w:rsidRPr="0087125E">
        <w:rPr>
          <w:rFonts w:ascii="Times New Roman" w:hAnsi="Times New Roman" w:cs="Times New Roman"/>
        </w:rPr>
        <w:t xml:space="preserve"> tone-- the one you </w:t>
      </w:r>
      <w:r>
        <w:rPr>
          <w:rFonts w:ascii="Times New Roman" w:hAnsi="Times New Roman" w:cs="Times New Roman"/>
        </w:rPr>
        <w:t xml:space="preserve">have been </w:t>
      </w:r>
      <w:r w:rsidRPr="0087125E">
        <w:rPr>
          <w:rFonts w:ascii="Times New Roman" w:hAnsi="Times New Roman" w:cs="Times New Roman"/>
        </w:rPr>
        <w:t>hear</w:t>
      </w:r>
      <w:r>
        <w:rPr>
          <w:rFonts w:ascii="Times New Roman" w:hAnsi="Times New Roman" w:cs="Times New Roman"/>
        </w:rPr>
        <w:t>ing</w:t>
      </w:r>
      <w:r w:rsidRPr="0087125E">
        <w:rPr>
          <w:rFonts w:ascii="Times New Roman" w:hAnsi="Times New Roman" w:cs="Times New Roman"/>
        </w:rPr>
        <w:t xml:space="preserve"> in your </w:t>
      </w:r>
      <w:r w:rsidR="001062EA">
        <w:rPr>
          <w:rFonts w:ascii="Times New Roman" w:hAnsi="Times New Roman" w:cs="Times New Roman"/>
        </w:rPr>
        <w:t>head</w:t>
      </w:r>
      <w:r>
        <w:rPr>
          <w:rFonts w:ascii="Times New Roman" w:hAnsi="Times New Roman" w:cs="Times New Roman"/>
        </w:rPr>
        <w:t xml:space="preserve"> </w:t>
      </w:r>
      <w:r w:rsidRPr="0087125E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87125E">
        <w:rPr>
          <w:rFonts w:ascii="Times New Roman" w:hAnsi="Times New Roman" w:cs="Times New Roman"/>
        </w:rPr>
        <w:t xml:space="preserve">is just another </w:t>
      </w:r>
      <w:r w:rsidR="001062EA">
        <w:rPr>
          <w:rFonts w:ascii="Times New Roman" w:hAnsi="Times New Roman" w:cs="Times New Roman"/>
        </w:rPr>
        <w:t>tone</w:t>
      </w:r>
      <w:r w:rsidRPr="0087125E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7125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 t</w:t>
      </w:r>
      <w:r w:rsidRPr="0087125E">
        <w:rPr>
          <w:rFonts w:ascii="Times New Roman" w:hAnsi="Times New Roman" w:cs="Times New Roman"/>
        </w:rPr>
        <w:t>ypical</w:t>
      </w:r>
      <w:proofErr w:type="gramEnd"/>
      <w:r w:rsidRPr="0087125E">
        <w:rPr>
          <w:rFonts w:ascii="Times New Roman" w:hAnsi="Times New Roman" w:cs="Times New Roman"/>
        </w:rPr>
        <w:t xml:space="preserve"> tone is the </w:t>
      </w:r>
      <w:r w:rsidR="001062EA">
        <w:rPr>
          <w:rFonts w:ascii="Times New Roman" w:hAnsi="Times New Roman" w:cs="Times New Roman"/>
        </w:rPr>
        <w:t>sound</w:t>
      </w:r>
      <w:r w:rsidRPr="0087125E">
        <w:rPr>
          <w:rFonts w:ascii="Times New Roman" w:hAnsi="Times New Roman" w:cs="Times New Roman"/>
        </w:rPr>
        <w:t xml:space="preserve"> you are used to hearing.</w:t>
      </w:r>
      <w:r>
        <w:rPr>
          <w:rFonts w:ascii="Times New Roman" w:hAnsi="Times New Roman" w:cs="Times New Roman"/>
        </w:rPr>
        <w:t xml:space="preserve">  We hear this tone so often that we forget that we are even hearing </w:t>
      </w:r>
      <w:r w:rsidR="00486C1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tone.  This exercise can help you begin to notice again the tones</w:t>
      </w:r>
      <w:r w:rsidR="00486C13">
        <w:rPr>
          <w:rFonts w:ascii="Times New Roman" w:hAnsi="Times New Roman" w:cs="Times New Roman"/>
        </w:rPr>
        <w:t xml:space="preserve"> of voice </w:t>
      </w:r>
      <w:r>
        <w:rPr>
          <w:rFonts w:ascii="Times New Roman" w:hAnsi="Times New Roman" w:cs="Times New Roman"/>
        </w:rPr>
        <w:t xml:space="preserve">our minds give us.  </w:t>
      </w:r>
      <w:r w:rsidR="00621DEE">
        <w:rPr>
          <w:rFonts w:ascii="Times New Roman" w:hAnsi="Times New Roman" w:cs="Times New Roman"/>
        </w:rPr>
        <w:t>Remember the Wizard of Oz metaphor</w:t>
      </w:r>
      <w:r w:rsidR="00486C13">
        <w:rPr>
          <w:rFonts w:ascii="Times New Roman" w:hAnsi="Times New Roman" w:cs="Times New Roman"/>
        </w:rPr>
        <w:t xml:space="preserve"> from the workshop</w:t>
      </w:r>
      <w:r w:rsidR="00621DEE">
        <w:rPr>
          <w:rFonts w:ascii="Times New Roman" w:hAnsi="Times New Roman" w:cs="Times New Roman"/>
        </w:rPr>
        <w:t>.  We have been trained to see our mind as the All-Knowing Wizard; let's pull back the curtain and see our mind for what it is.</w:t>
      </w:r>
    </w:p>
    <w:p w:rsidR="00621DEE" w:rsidRDefault="00621DEE" w:rsidP="0087125E">
      <w:pPr>
        <w:pStyle w:val="Default"/>
        <w:rPr>
          <w:rFonts w:ascii="Times New Roman" w:hAnsi="Times New Roman" w:cs="Times New Roman"/>
        </w:rPr>
      </w:pPr>
    </w:p>
    <w:p w:rsidR="0087125E" w:rsidRDefault="0087125E" w:rsidP="0087125E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Use this worksheet to practice noticing the mind when it pretends to </w:t>
      </w:r>
      <w:r w:rsidR="00621DEE">
        <w:rPr>
          <w:rFonts w:ascii="Times New Roman" w:hAnsi="Times New Roman" w:cs="Times New Roman"/>
        </w:rPr>
        <w:t>give us answers about ourselves and about w</w:t>
      </w:r>
      <w:r>
        <w:rPr>
          <w:rFonts w:ascii="Times New Roman" w:hAnsi="Times New Roman" w:cs="Times New Roman"/>
        </w:rPr>
        <w:t>hat we can/cannot do:</w:t>
      </w:r>
    </w:p>
    <w:p w:rsidR="0087125E" w:rsidRDefault="0087125E" w:rsidP="0087125E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8"/>
        <w:gridCol w:w="3150"/>
        <w:gridCol w:w="3054"/>
        <w:gridCol w:w="6"/>
      </w:tblGrid>
      <w:tr w:rsidR="0087125E" w:rsidTr="000253B6">
        <w:trPr>
          <w:gridAfter w:val="1"/>
          <w:wAfter w:w="6" w:type="dxa"/>
          <w:trHeight w:val="309"/>
        </w:trPr>
        <w:tc>
          <w:tcPr>
            <w:tcW w:w="3078" w:type="dxa"/>
          </w:tcPr>
          <w:p w:rsidR="0087125E" w:rsidRPr="0087125E" w:rsidRDefault="0087125E" w:rsidP="0087125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7125E">
              <w:rPr>
                <w:rFonts w:ascii="Times New Roman" w:hAnsi="Times New Roman" w:cs="Times New Roman"/>
              </w:rPr>
              <w:t>Sentence/Statement</w:t>
            </w:r>
          </w:p>
          <w:p w:rsidR="0087125E" w:rsidRPr="0087125E" w:rsidRDefault="0087125E" w:rsidP="0087125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7125E">
              <w:rPr>
                <w:rFonts w:ascii="Times New Roman" w:hAnsi="Times New Roman" w:cs="Times New Roman"/>
              </w:rPr>
              <w:t>(the Passenger)</w:t>
            </w:r>
          </w:p>
        </w:tc>
        <w:tc>
          <w:tcPr>
            <w:tcW w:w="3150" w:type="dxa"/>
          </w:tcPr>
          <w:p w:rsidR="0087125E" w:rsidRPr="0087125E" w:rsidRDefault="0087125E" w:rsidP="0087125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7125E">
              <w:rPr>
                <w:rFonts w:ascii="Times New Roman" w:hAnsi="Times New Roman" w:cs="Times New Roman"/>
              </w:rPr>
              <w:t>Typical Way It Has Been Heard</w:t>
            </w:r>
          </w:p>
        </w:tc>
        <w:tc>
          <w:tcPr>
            <w:tcW w:w="3054" w:type="dxa"/>
          </w:tcPr>
          <w:p w:rsidR="0087125E" w:rsidRPr="0087125E" w:rsidRDefault="0087125E" w:rsidP="000253B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7125E">
              <w:rPr>
                <w:rFonts w:ascii="Times New Roman" w:hAnsi="Times New Roman" w:cs="Times New Roman"/>
              </w:rPr>
              <w:t xml:space="preserve">Different Way to Hear </w:t>
            </w:r>
            <w:r w:rsidR="000253B6">
              <w:rPr>
                <w:rFonts w:ascii="Times New Roman" w:hAnsi="Times New Roman" w:cs="Times New Roman"/>
              </w:rPr>
              <w:t>the thought</w:t>
            </w:r>
            <w:r w:rsidRPr="0087125E">
              <w:rPr>
                <w:rFonts w:ascii="Times New Roman" w:hAnsi="Times New Roman" w:cs="Times New Roman"/>
              </w:rPr>
              <w:t xml:space="preserve"> (a Passenger</w:t>
            </w:r>
            <w:r w:rsidRPr="0087125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7125E" w:rsidTr="000253B6">
        <w:trPr>
          <w:trHeight w:val="264"/>
        </w:trPr>
        <w:tc>
          <w:tcPr>
            <w:tcW w:w="3078" w:type="dxa"/>
          </w:tcPr>
          <w:p w:rsidR="0087125E" w:rsidRDefault="00871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"I can‘t live with these memories." </w:t>
            </w:r>
          </w:p>
        </w:tc>
        <w:tc>
          <w:tcPr>
            <w:tcW w:w="3150" w:type="dxa"/>
          </w:tcPr>
          <w:p w:rsidR="0087125E" w:rsidRDefault="00871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convincing and condemning </w:t>
            </w:r>
          </w:p>
        </w:tc>
        <w:tc>
          <w:tcPr>
            <w:tcW w:w="3060" w:type="dxa"/>
            <w:gridSpan w:val="2"/>
          </w:tcPr>
          <w:p w:rsidR="0087125E" w:rsidRDefault="00871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silly and happy, sung to Sound of Music </w:t>
            </w:r>
          </w:p>
        </w:tc>
      </w:tr>
      <w:tr w:rsidR="0087125E" w:rsidTr="000253B6">
        <w:trPr>
          <w:trHeight w:val="414"/>
        </w:trPr>
        <w:tc>
          <w:tcPr>
            <w:tcW w:w="3078" w:type="dxa"/>
          </w:tcPr>
          <w:p w:rsidR="0087125E" w:rsidRDefault="00871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"I could have saved him if I were braver and better trained." </w:t>
            </w:r>
          </w:p>
        </w:tc>
        <w:tc>
          <w:tcPr>
            <w:tcW w:w="3150" w:type="dxa"/>
          </w:tcPr>
          <w:p w:rsidR="0087125E" w:rsidRDefault="00871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Sad, guilt-ridden, with anger </w:t>
            </w:r>
          </w:p>
        </w:tc>
        <w:tc>
          <w:tcPr>
            <w:tcW w:w="3060" w:type="dxa"/>
            <w:gridSpan w:val="2"/>
          </w:tcPr>
          <w:p w:rsidR="0087125E" w:rsidRDefault="0087125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said slower, with a slur </w:t>
            </w:r>
          </w:p>
        </w:tc>
      </w:tr>
      <w:tr w:rsidR="000253B6" w:rsidTr="000253B6">
        <w:trPr>
          <w:trHeight w:val="41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"I could have gotten that bonus if I were smarter"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Quick, demeaning, anxious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Said with Family guy's Stewie voice</w:t>
            </w:r>
          </w:p>
        </w:tc>
      </w:tr>
      <w:tr w:rsidR="000253B6" w:rsidTr="000253B6">
        <w:trPr>
          <w:trHeight w:val="41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</w:tc>
      </w:tr>
      <w:tr w:rsidR="000253B6" w:rsidTr="000253B6">
        <w:trPr>
          <w:trHeight w:val="41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</w:tc>
      </w:tr>
      <w:tr w:rsidR="000253B6" w:rsidTr="000253B6">
        <w:trPr>
          <w:trHeight w:val="41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B6" w:rsidRDefault="000253B6" w:rsidP="00DA7D25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7125E" w:rsidRDefault="0087125E"/>
    <w:sectPr w:rsidR="0087125E" w:rsidSect="00590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74" w:rsidRDefault="008A6774" w:rsidP="006739E3">
      <w:pPr>
        <w:spacing w:after="0" w:line="240" w:lineRule="auto"/>
      </w:pPr>
      <w:r>
        <w:separator/>
      </w:r>
    </w:p>
  </w:endnote>
  <w:endnote w:type="continuationSeparator" w:id="0">
    <w:p w:rsidR="008A6774" w:rsidRDefault="008A6774" w:rsidP="0067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E3" w:rsidRDefault="006739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E3" w:rsidRDefault="006739E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E3" w:rsidRDefault="006739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74" w:rsidRDefault="008A6774" w:rsidP="006739E3">
      <w:pPr>
        <w:spacing w:after="0" w:line="240" w:lineRule="auto"/>
      </w:pPr>
      <w:r>
        <w:separator/>
      </w:r>
    </w:p>
  </w:footnote>
  <w:footnote w:type="continuationSeparator" w:id="0">
    <w:p w:rsidR="008A6774" w:rsidRDefault="008A6774" w:rsidP="0067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E3" w:rsidRDefault="006739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69410" o:spid="_x0000_s2050" type="#_x0000_t75" style="position:absolute;margin-left:0;margin-top:0;width:468pt;height:257.4pt;z-index:-251657216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E3" w:rsidRDefault="006739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69411" o:spid="_x0000_s2051" type="#_x0000_t75" style="position:absolute;margin-left:0;margin-top:0;width:468pt;height:257.4pt;z-index:-251656192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E3" w:rsidRDefault="006739E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69409" o:spid="_x0000_s2049" type="#_x0000_t75" style="position:absolute;margin-left:0;margin-top:0;width:468pt;height:257.4pt;z-index:-251658240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6333A"/>
    <w:multiLevelType w:val="hybridMultilevel"/>
    <w:tmpl w:val="E0026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4414E1"/>
    <w:multiLevelType w:val="hybridMultilevel"/>
    <w:tmpl w:val="554CA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125E"/>
    <w:rsid w:val="000253B6"/>
    <w:rsid w:val="001062EA"/>
    <w:rsid w:val="00486C13"/>
    <w:rsid w:val="0059026D"/>
    <w:rsid w:val="00621DEE"/>
    <w:rsid w:val="006739E3"/>
    <w:rsid w:val="0087125E"/>
    <w:rsid w:val="008A6774"/>
    <w:rsid w:val="00913D79"/>
    <w:rsid w:val="00AE377C"/>
    <w:rsid w:val="00CD2898"/>
    <w:rsid w:val="00D5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25E"/>
    <w:pPr>
      <w:autoSpaceDE w:val="0"/>
      <w:autoSpaceDN w:val="0"/>
      <w:adjustRightInd w:val="0"/>
      <w:spacing w:after="0" w:line="240" w:lineRule="auto"/>
    </w:pPr>
    <w:rPr>
      <w:rFonts w:ascii="Bradley Hand ITC" w:hAnsi="Bradley Hand ITC" w:cs="Bradley Hand IT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7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9E3"/>
  </w:style>
  <w:style w:type="paragraph" w:styleId="Footer">
    <w:name w:val="footer"/>
    <w:basedOn w:val="Normal"/>
    <w:link w:val="FooterChar"/>
    <w:uiPriority w:val="99"/>
    <w:semiHidden/>
    <w:unhideWhenUsed/>
    <w:rsid w:val="0067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Arkansas Veterans Healthcare System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VHALITRocaJ</dc:creator>
  <cp:keywords/>
  <dc:description/>
  <cp:lastModifiedBy>Radu F. Babiceanu</cp:lastModifiedBy>
  <cp:revision>5</cp:revision>
  <dcterms:created xsi:type="dcterms:W3CDTF">2012-08-23T15:17:00Z</dcterms:created>
  <dcterms:modified xsi:type="dcterms:W3CDTF">2012-08-31T20:50:00Z</dcterms:modified>
</cp:coreProperties>
</file>