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A8E0" w14:textId="2CDF3B27" w:rsidR="00137548" w:rsidRPr="002815FB" w:rsidRDefault="00137548" w:rsidP="00137548">
      <w:pPr>
        <w:jc w:val="center"/>
        <w:rPr>
          <w:rFonts w:ascii="Arial" w:hAnsi="Arial" w:cs="Arial"/>
          <w:b/>
        </w:rPr>
      </w:pPr>
      <w:r w:rsidRPr="002815FB">
        <w:rPr>
          <w:rFonts w:ascii="Arial" w:hAnsi="Arial" w:cs="Arial"/>
          <w:b/>
        </w:rPr>
        <w:t>CBT for Psychosis Outcome Measures</w:t>
      </w:r>
    </w:p>
    <w:p w14:paraId="673A7872" w14:textId="77777777" w:rsidR="00137548" w:rsidRPr="002815FB" w:rsidRDefault="00137548">
      <w:pPr>
        <w:rPr>
          <w:rFonts w:ascii="Arial" w:hAnsi="Arial" w:cs="Arial"/>
          <w:b/>
          <w:sz w:val="20"/>
          <w:szCs w:val="20"/>
        </w:rPr>
      </w:pPr>
    </w:p>
    <w:p w14:paraId="30D11C36" w14:textId="4D5F9741" w:rsidR="00F335DA" w:rsidRPr="002815FB" w:rsidRDefault="00F335DA">
      <w:pPr>
        <w:rPr>
          <w:rFonts w:ascii="Arial" w:hAnsi="Arial" w:cs="Arial"/>
          <w:b/>
          <w:sz w:val="22"/>
          <w:szCs w:val="22"/>
        </w:rPr>
      </w:pPr>
      <w:r w:rsidRPr="002815FB">
        <w:rPr>
          <w:rFonts w:ascii="Arial" w:hAnsi="Arial" w:cs="Arial"/>
          <w:b/>
          <w:sz w:val="22"/>
          <w:szCs w:val="22"/>
        </w:rPr>
        <w:t>Behavior and Symptom Identification Scale 24 (BASIS-24)</w:t>
      </w:r>
    </w:p>
    <w:p w14:paraId="49DE026D" w14:textId="16070A7C" w:rsidR="00F335DA" w:rsidRPr="002815FB" w:rsidRDefault="00A96CB0" w:rsidP="00137548">
      <w:pPr>
        <w:spacing w:before="120"/>
        <w:rPr>
          <w:rFonts w:ascii="Arial" w:hAnsi="Arial" w:cs="Arial"/>
          <w:iCs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>24-item s</w:t>
      </w:r>
      <w:r w:rsidR="00F335DA" w:rsidRPr="002815FB">
        <w:rPr>
          <w:rFonts w:ascii="Arial" w:hAnsi="Arial" w:cs="Arial"/>
          <w:sz w:val="20"/>
          <w:szCs w:val="20"/>
        </w:rPr>
        <w:t>elf-report measure of the Veteran’s symptoms and functional difficulties</w:t>
      </w:r>
      <w:r w:rsidR="002815FB" w:rsidRPr="002815FB">
        <w:rPr>
          <w:rFonts w:ascii="Arial" w:hAnsi="Arial" w:cs="Arial"/>
          <w:sz w:val="20"/>
          <w:szCs w:val="20"/>
        </w:rPr>
        <w:t xml:space="preserve">, </w:t>
      </w:r>
      <w:r w:rsidR="00137548" w:rsidRPr="002815FB">
        <w:rPr>
          <w:rFonts w:ascii="Arial" w:hAnsi="Arial" w:cs="Arial"/>
          <w:sz w:val="20"/>
          <w:szCs w:val="20"/>
        </w:rPr>
        <w:t>found in Mental Health Assistant.</w:t>
      </w:r>
      <w:r w:rsidR="00C0267F" w:rsidRPr="002815FB">
        <w:rPr>
          <w:rFonts w:ascii="Arial" w:hAnsi="Arial" w:cs="Arial"/>
          <w:sz w:val="20"/>
          <w:szCs w:val="20"/>
        </w:rPr>
        <w:t xml:space="preserve"> Each item is scored from 0-4</w:t>
      </w:r>
      <w:r w:rsidRPr="002815FB">
        <w:rPr>
          <w:rFonts w:ascii="Arial" w:hAnsi="Arial" w:cs="Arial"/>
          <w:sz w:val="20"/>
          <w:szCs w:val="20"/>
        </w:rPr>
        <w:t>.</w:t>
      </w:r>
      <w:r w:rsidR="00E0187C" w:rsidRPr="002815FB">
        <w:rPr>
          <w:rFonts w:ascii="Arial" w:hAnsi="Arial" w:cs="Arial"/>
          <w:sz w:val="20"/>
          <w:szCs w:val="20"/>
        </w:rPr>
        <w:t xml:space="preserve"> </w:t>
      </w:r>
      <w:r w:rsidR="009A4AB9" w:rsidRPr="002815FB">
        <w:rPr>
          <w:rFonts w:ascii="Arial" w:hAnsi="Arial" w:cs="Arial"/>
          <w:sz w:val="20"/>
          <w:szCs w:val="20"/>
        </w:rPr>
        <w:t>Average s</w:t>
      </w:r>
      <w:r w:rsidR="00E0187C" w:rsidRPr="002815FB">
        <w:rPr>
          <w:rFonts w:ascii="Arial" w:hAnsi="Arial" w:cs="Arial"/>
          <w:sz w:val="20"/>
          <w:szCs w:val="20"/>
        </w:rPr>
        <w:t>cores are calculated for 6 subscales and a total</w:t>
      </w:r>
      <w:r w:rsidR="009A4AB9" w:rsidRPr="002815FB">
        <w:rPr>
          <w:rFonts w:ascii="Arial" w:hAnsi="Arial" w:cs="Arial"/>
          <w:sz w:val="20"/>
          <w:szCs w:val="20"/>
        </w:rPr>
        <w:t xml:space="preserve"> score</w:t>
      </w:r>
      <w:r w:rsidR="00E0187C" w:rsidRPr="002815FB">
        <w:rPr>
          <w:rFonts w:ascii="Arial" w:hAnsi="Arial" w:cs="Arial"/>
          <w:sz w:val="20"/>
          <w:szCs w:val="20"/>
        </w:rPr>
        <w:t>.</w:t>
      </w:r>
      <w:r w:rsidR="00BD1C7F" w:rsidRPr="002815FB">
        <w:rPr>
          <w:rFonts w:ascii="Arial" w:hAnsi="Arial" w:cs="Arial"/>
          <w:sz w:val="20"/>
          <w:szCs w:val="20"/>
        </w:rPr>
        <w:t xml:space="preserve"> </w:t>
      </w:r>
      <w:r w:rsidR="00BD1C7F" w:rsidRPr="002815FB">
        <w:rPr>
          <w:rFonts w:ascii="Arial" w:hAnsi="Arial" w:cs="Arial"/>
          <w:i/>
          <w:sz w:val="20"/>
          <w:szCs w:val="20"/>
        </w:rPr>
        <w:t>Higher scores reflect more serious symptoms or difficulty.</w:t>
      </w:r>
      <w:r w:rsidR="00137548" w:rsidRPr="002815FB">
        <w:rPr>
          <w:rFonts w:ascii="Arial" w:hAnsi="Arial" w:cs="Arial"/>
          <w:i/>
          <w:sz w:val="20"/>
          <w:szCs w:val="20"/>
        </w:rPr>
        <w:t xml:space="preserve"> </w:t>
      </w:r>
      <w:r w:rsidR="002815FB" w:rsidRPr="002815FB">
        <w:rPr>
          <w:rFonts w:ascii="Arial" w:hAnsi="Arial" w:cs="Arial"/>
          <w:iCs/>
          <w:sz w:val="20"/>
          <w:szCs w:val="20"/>
        </w:rPr>
        <w:t>R</w:t>
      </w:r>
      <w:r w:rsidR="00137548" w:rsidRPr="002815FB">
        <w:rPr>
          <w:rFonts w:ascii="Arial" w:hAnsi="Arial" w:cs="Arial"/>
          <w:iCs/>
          <w:sz w:val="20"/>
          <w:szCs w:val="20"/>
        </w:rPr>
        <w:t>eference scores from published studies are provided below for comparison.</w:t>
      </w:r>
      <w:r w:rsidR="002815FB" w:rsidRPr="002815FB">
        <w:rPr>
          <w:rFonts w:ascii="Arial" w:hAnsi="Arial" w:cs="Arial"/>
          <w:iCs/>
          <w:sz w:val="20"/>
          <w:szCs w:val="20"/>
        </w:rPr>
        <w:t xml:space="preserve"> Norms for the general population and inpatients are available in the appendix of the </w:t>
      </w:r>
      <w:r w:rsidR="002815FB" w:rsidRPr="002815FB">
        <w:rPr>
          <w:rFonts w:ascii="Arial" w:hAnsi="Arial" w:cs="Arial"/>
          <w:i/>
          <w:sz w:val="20"/>
          <w:szCs w:val="20"/>
        </w:rPr>
        <w:t xml:space="preserve">CBT for Voices &amp; Worries Therapist Manual </w:t>
      </w:r>
      <w:r w:rsidR="002815FB" w:rsidRPr="002815FB">
        <w:rPr>
          <w:rFonts w:ascii="Arial" w:hAnsi="Arial" w:cs="Arial"/>
          <w:iCs/>
          <w:sz w:val="20"/>
          <w:szCs w:val="20"/>
        </w:rPr>
        <w:t>(</w:t>
      </w:r>
      <w:proofErr w:type="spellStart"/>
      <w:r w:rsidR="002815FB" w:rsidRPr="002815FB">
        <w:rPr>
          <w:rFonts w:ascii="Arial" w:hAnsi="Arial" w:cs="Arial"/>
          <w:iCs/>
          <w:sz w:val="20"/>
          <w:szCs w:val="20"/>
        </w:rPr>
        <w:t>Perivoliotis</w:t>
      </w:r>
      <w:proofErr w:type="spellEnd"/>
      <w:r w:rsidR="002815FB" w:rsidRPr="002815FB">
        <w:rPr>
          <w:rFonts w:ascii="Arial" w:hAnsi="Arial" w:cs="Arial"/>
          <w:iCs/>
          <w:sz w:val="20"/>
          <w:szCs w:val="20"/>
        </w:rPr>
        <w:t xml:space="preserve"> &amp; </w:t>
      </w:r>
      <w:proofErr w:type="spellStart"/>
      <w:r w:rsidR="002815FB" w:rsidRPr="002815FB">
        <w:rPr>
          <w:rFonts w:ascii="Arial" w:hAnsi="Arial" w:cs="Arial"/>
          <w:iCs/>
          <w:sz w:val="20"/>
          <w:szCs w:val="20"/>
        </w:rPr>
        <w:t>Landa</w:t>
      </w:r>
      <w:proofErr w:type="spellEnd"/>
      <w:r w:rsidR="002815FB" w:rsidRPr="002815FB">
        <w:rPr>
          <w:rFonts w:ascii="Arial" w:hAnsi="Arial" w:cs="Arial"/>
          <w:iCs/>
          <w:sz w:val="20"/>
          <w:szCs w:val="20"/>
        </w:rPr>
        <w:t>, 2021).</w:t>
      </w:r>
    </w:p>
    <w:p w14:paraId="66C02EDE" w14:textId="75D2D59C" w:rsidR="000057FE" w:rsidRPr="002815FB" w:rsidRDefault="000057F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3325"/>
        <w:gridCol w:w="1395"/>
        <w:gridCol w:w="1395"/>
        <w:gridCol w:w="1395"/>
        <w:gridCol w:w="1395"/>
      </w:tblGrid>
      <w:tr w:rsidR="00A96CB0" w:rsidRPr="002815FB" w14:paraId="654F8109" w14:textId="77777777" w:rsidTr="002815FB">
        <w:tc>
          <w:tcPr>
            <w:tcW w:w="3325" w:type="dxa"/>
            <w:vMerge w:val="restart"/>
            <w:shd w:val="clear" w:color="auto" w:fill="D0CECE" w:themeFill="background2" w:themeFillShade="E6"/>
            <w:vAlign w:val="center"/>
          </w:tcPr>
          <w:p w14:paraId="723469DF" w14:textId="551D2651" w:rsidR="00A96CB0" w:rsidRPr="002815FB" w:rsidRDefault="00A96CB0" w:rsidP="00D32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Scale</w:t>
            </w:r>
          </w:p>
        </w:tc>
        <w:tc>
          <w:tcPr>
            <w:tcW w:w="1395" w:type="dxa"/>
            <w:vMerge w:val="restart"/>
            <w:shd w:val="clear" w:color="auto" w:fill="D0CECE" w:themeFill="background2" w:themeFillShade="E6"/>
            <w:vAlign w:val="bottom"/>
          </w:tcPr>
          <w:p w14:paraId="5FCE9382" w14:textId="71DEB4F1" w:rsidR="00A96CB0" w:rsidRPr="002815FB" w:rsidRDefault="00A96CB0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Veteran’s Score</w:t>
            </w:r>
          </w:p>
        </w:tc>
        <w:tc>
          <w:tcPr>
            <w:tcW w:w="4185" w:type="dxa"/>
            <w:gridSpan w:val="3"/>
            <w:shd w:val="clear" w:color="auto" w:fill="000000" w:themeFill="text1"/>
            <w:vAlign w:val="bottom"/>
          </w:tcPr>
          <w:p w14:paraId="069A377E" w14:textId="530BE409" w:rsidR="00A96CB0" w:rsidRPr="002815FB" w:rsidRDefault="00A96CB0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Reference Scores</w:t>
            </w:r>
          </w:p>
        </w:tc>
      </w:tr>
      <w:tr w:rsidR="00A96CB0" w:rsidRPr="002815FB" w14:paraId="623200D5" w14:textId="58944BCD" w:rsidTr="002815FB">
        <w:tc>
          <w:tcPr>
            <w:tcW w:w="3325" w:type="dxa"/>
            <w:vMerge/>
            <w:shd w:val="clear" w:color="auto" w:fill="D0CECE" w:themeFill="background2" w:themeFillShade="E6"/>
            <w:vAlign w:val="center"/>
          </w:tcPr>
          <w:p w14:paraId="4A85B13E" w14:textId="1185CD2E" w:rsidR="00A96CB0" w:rsidRPr="002815FB" w:rsidRDefault="00A96CB0" w:rsidP="00D32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D0CECE" w:themeFill="background2" w:themeFillShade="E6"/>
            <w:vAlign w:val="bottom"/>
          </w:tcPr>
          <w:p w14:paraId="05ED63CE" w14:textId="0C213AF0" w:rsidR="00A96CB0" w:rsidRPr="002815FB" w:rsidRDefault="00A96CB0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0CECE" w:themeFill="background2" w:themeFillShade="E6"/>
            <w:vAlign w:val="bottom"/>
          </w:tcPr>
          <w:p w14:paraId="7F1A85DD" w14:textId="0A1C5BC1" w:rsidR="00A96CB0" w:rsidRPr="002815FB" w:rsidRDefault="002815FB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Psychiatric </w:t>
            </w:r>
            <w:r w:rsidR="00A96CB0" w:rsidRPr="002815FB">
              <w:rPr>
                <w:rFonts w:ascii="Arial" w:hAnsi="Arial" w:cs="Arial"/>
                <w:b/>
                <w:sz w:val="20"/>
                <w:szCs w:val="20"/>
              </w:rPr>
              <w:t>Inpatients</w:t>
            </w:r>
            <w:r w:rsidR="00A96CB0"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bottom"/>
          </w:tcPr>
          <w:p w14:paraId="378E59AF" w14:textId="5DA6BDF0" w:rsidR="00A96CB0" w:rsidRPr="002815FB" w:rsidRDefault="00A96CB0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Community Mental Health</w:t>
            </w:r>
            <w:r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bottom"/>
          </w:tcPr>
          <w:p w14:paraId="4C2CDAE7" w14:textId="35C4AB63" w:rsidR="00A96CB0" w:rsidRPr="002815FB" w:rsidRDefault="00A96CB0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General Population</w:t>
            </w:r>
            <w:r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0940C8" w:rsidRPr="002815FB" w14:paraId="514EEE8C" w14:textId="6FD6AB2E" w:rsidTr="00A96CB0">
        <w:trPr>
          <w:trHeight w:val="667"/>
        </w:trPr>
        <w:tc>
          <w:tcPr>
            <w:tcW w:w="3325" w:type="dxa"/>
            <w:vAlign w:val="center"/>
          </w:tcPr>
          <w:p w14:paraId="3356E630" w14:textId="7EBF07A8" w:rsidR="000940C8" w:rsidRPr="002815FB" w:rsidRDefault="000940C8" w:rsidP="000940C8">
            <w:pPr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Depression &amp; functioning:</w:t>
            </w:r>
            <w:r w:rsidRPr="002815FB">
              <w:rPr>
                <w:rFonts w:ascii="Arial" w:hAnsi="Arial" w:cs="Arial"/>
                <w:sz w:val="20"/>
                <w:szCs w:val="20"/>
              </w:rPr>
              <w:t xml:space="preserve"> Daily/role functioning and depression and anxiety symptoms</w:t>
            </w:r>
          </w:p>
        </w:tc>
        <w:tc>
          <w:tcPr>
            <w:tcW w:w="1395" w:type="dxa"/>
            <w:vAlign w:val="center"/>
          </w:tcPr>
          <w:p w14:paraId="27C98E1D" w14:textId="6F89276A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A5DBDBB" w14:textId="0ECB88B6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395" w:type="dxa"/>
            <w:vAlign w:val="center"/>
          </w:tcPr>
          <w:p w14:paraId="7944AEE8" w14:textId="1673C10D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1395" w:type="dxa"/>
            <w:vAlign w:val="center"/>
          </w:tcPr>
          <w:p w14:paraId="1971E6B2" w14:textId="5FF91592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0940C8" w:rsidRPr="002815FB" w14:paraId="1B831A9E" w14:textId="77777777" w:rsidTr="00A96CB0">
        <w:trPr>
          <w:trHeight w:val="667"/>
        </w:trPr>
        <w:tc>
          <w:tcPr>
            <w:tcW w:w="3325" w:type="dxa"/>
            <w:vAlign w:val="center"/>
          </w:tcPr>
          <w:p w14:paraId="411D5A6D" w14:textId="3942E7A8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Interpersonal problems:</w:t>
            </w:r>
            <w:r w:rsidRPr="002815FB">
              <w:rPr>
                <w:rFonts w:ascii="Arial" w:hAnsi="Arial" w:cs="Arial"/>
                <w:sz w:val="20"/>
                <w:szCs w:val="20"/>
              </w:rPr>
              <w:t xml:space="preserve"> Patient’s perception of the quality of their relationships</w:t>
            </w:r>
          </w:p>
        </w:tc>
        <w:tc>
          <w:tcPr>
            <w:tcW w:w="1395" w:type="dxa"/>
            <w:vAlign w:val="center"/>
          </w:tcPr>
          <w:p w14:paraId="1E22EFC0" w14:textId="7BBA06AA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545EA9" w14:textId="1CE73C14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1395" w:type="dxa"/>
            <w:vAlign w:val="center"/>
          </w:tcPr>
          <w:p w14:paraId="68C03EED" w14:textId="6DF89478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1395" w:type="dxa"/>
            <w:vAlign w:val="center"/>
          </w:tcPr>
          <w:p w14:paraId="323AF984" w14:textId="7464AB30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0940C8" w:rsidRPr="002815FB" w14:paraId="2CC408AC" w14:textId="77777777" w:rsidTr="00A96CB0">
        <w:trPr>
          <w:trHeight w:val="667"/>
        </w:trPr>
        <w:tc>
          <w:tcPr>
            <w:tcW w:w="3325" w:type="dxa"/>
            <w:vAlign w:val="center"/>
          </w:tcPr>
          <w:p w14:paraId="6E87EE22" w14:textId="3A892A8F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 xml:space="preserve">Psychotic symptoms: </w:t>
            </w:r>
          </w:p>
          <w:p w14:paraId="23726D69" w14:textId="6FC78CE7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Grandiose delusions, auditory and visual hallucinations, paranoia</w:t>
            </w:r>
          </w:p>
        </w:tc>
        <w:tc>
          <w:tcPr>
            <w:tcW w:w="1395" w:type="dxa"/>
            <w:vAlign w:val="center"/>
          </w:tcPr>
          <w:p w14:paraId="77DC09E4" w14:textId="2A9E9D06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746B3C" w14:textId="5575722D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395" w:type="dxa"/>
            <w:vAlign w:val="center"/>
          </w:tcPr>
          <w:p w14:paraId="4042BCEE" w14:textId="15AA16B8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395" w:type="dxa"/>
            <w:vAlign w:val="center"/>
          </w:tcPr>
          <w:p w14:paraId="5B56D206" w14:textId="393659AD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40C8" w:rsidRPr="002815FB" w14:paraId="37E1E843" w14:textId="41ABEC31" w:rsidTr="00A96CB0">
        <w:trPr>
          <w:trHeight w:val="667"/>
        </w:trPr>
        <w:tc>
          <w:tcPr>
            <w:tcW w:w="3325" w:type="dxa"/>
            <w:vAlign w:val="center"/>
          </w:tcPr>
          <w:p w14:paraId="72D46EAE" w14:textId="6D576D02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 xml:space="preserve">Alcohol/drug use: </w:t>
            </w:r>
          </w:p>
          <w:p w14:paraId="5C22430E" w14:textId="58849EFE" w:rsidR="000940C8" w:rsidRPr="002815FB" w:rsidRDefault="000940C8" w:rsidP="000940C8">
            <w:pPr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Urges to drink or use drugs and problems stemming from use</w:t>
            </w:r>
          </w:p>
        </w:tc>
        <w:tc>
          <w:tcPr>
            <w:tcW w:w="1395" w:type="dxa"/>
            <w:vAlign w:val="center"/>
          </w:tcPr>
          <w:p w14:paraId="297353E4" w14:textId="21FAACFF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8662992" w14:textId="59408A76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395" w:type="dxa"/>
            <w:vAlign w:val="center"/>
          </w:tcPr>
          <w:p w14:paraId="1255946B" w14:textId="2FC0CA45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395" w:type="dxa"/>
            <w:vAlign w:val="center"/>
          </w:tcPr>
          <w:p w14:paraId="7B90F01C" w14:textId="71BD7919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40C8" w:rsidRPr="002815FB" w14:paraId="00167245" w14:textId="025859FC" w:rsidTr="00A96CB0">
        <w:trPr>
          <w:trHeight w:val="667"/>
        </w:trPr>
        <w:tc>
          <w:tcPr>
            <w:tcW w:w="3325" w:type="dxa"/>
            <w:vAlign w:val="center"/>
          </w:tcPr>
          <w:p w14:paraId="41BC8F08" w14:textId="77777777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 xml:space="preserve">Emotional lability: </w:t>
            </w:r>
          </w:p>
          <w:p w14:paraId="709833F8" w14:textId="79C7ED29" w:rsidR="000940C8" w:rsidRPr="002815FB" w:rsidRDefault="000940C8" w:rsidP="000940C8">
            <w:pPr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Mood swings, racing thoughts, and feeling short-tempered</w:t>
            </w:r>
          </w:p>
        </w:tc>
        <w:tc>
          <w:tcPr>
            <w:tcW w:w="1395" w:type="dxa"/>
            <w:vAlign w:val="center"/>
          </w:tcPr>
          <w:p w14:paraId="1A0EA4EF" w14:textId="28CB86DC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EDA37C5" w14:textId="05E23423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395" w:type="dxa"/>
            <w:vAlign w:val="center"/>
          </w:tcPr>
          <w:p w14:paraId="549A5D54" w14:textId="51F6C81A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395" w:type="dxa"/>
            <w:vAlign w:val="center"/>
          </w:tcPr>
          <w:p w14:paraId="1280DD1C" w14:textId="03677FCA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</w:tr>
      <w:tr w:rsidR="000940C8" w:rsidRPr="002815FB" w14:paraId="7A8E0754" w14:textId="74AF365D" w:rsidTr="00A96CB0">
        <w:trPr>
          <w:trHeight w:val="667"/>
        </w:trPr>
        <w:tc>
          <w:tcPr>
            <w:tcW w:w="3325" w:type="dxa"/>
            <w:vAlign w:val="center"/>
          </w:tcPr>
          <w:p w14:paraId="6DDC0EB2" w14:textId="77777777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 xml:space="preserve">Self-harm: </w:t>
            </w:r>
          </w:p>
          <w:p w14:paraId="782A7789" w14:textId="2E2CB215" w:rsidR="000940C8" w:rsidRPr="002815FB" w:rsidRDefault="000940C8" w:rsidP="000940C8">
            <w:pPr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 xml:space="preserve">Suicidal ideation </w:t>
            </w:r>
          </w:p>
        </w:tc>
        <w:tc>
          <w:tcPr>
            <w:tcW w:w="1395" w:type="dxa"/>
            <w:vAlign w:val="center"/>
          </w:tcPr>
          <w:p w14:paraId="1038C500" w14:textId="23015FB2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CEA466C" w14:textId="03B8AD5E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395" w:type="dxa"/>
            <w:vAlign w:val="center"/>
          </w:tcPr>
          <w:p w14:paraId="729C8AA0" w14:textId="5EDFAB8A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00C591AA" w14:textId="45C4B668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40C8" w:rsidRPr="002815FB" w14:paraId="75C496E4" w14:textId="2B244BEA" w:rsidTr="00A96CB0">
        <w:trPr>
          <w:trHeight w:val="667"/>
        </w:trPr>
        <w:tc>
          <w:tcPr>
            <w:tcW w:w="3325" w:type="dxa"/>
            <w:vAlign w:val="center"/>
          </w:tcPr>
          <w:p w14:paraId="6164609E" w14:textId="77777777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 xml:space="preserve">Total score </w:t>
            </w:r>
          </w:p>
          <w:p w14:paraId="522C3061" w14:textId="17202F18" w:rsidR="000940C8" w:rsidRPr="002815FB" w:rsidRDefault="000940C8" w:rsidP="0009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Average of all items</w:t>
            </w:r>
          </w:p>
        </w:tc>
        <w:tc>
          <w:tcPr>
            <w:tcW w:w="1395" w:type="dxa"/>
            <w:vAlign w:val="center"/>
          </w:tcPr>
          <w:p w14:paraId="0448DC73" w14:textId="06C0E4DE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A3DC7C5" w14:textId="087CFD52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1395" w:type="dxa"/>
            <w:vAlign w:val="center"/>
          </w:tcPr>
          <w:p w14:paraId="2F25BFE9" w14:textId="21EA691F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1395" w:type="dxa"/>
            <w:vAlign w:val="center"/>
          </w:tcPr>
          <w:p w14:paraId="2A812C8C" w14:textId="041F0726" w:rsidR="000940C8" w:rsidRPr="002815FB" w:rsidRDefault="000940C8" w:rsidP="0009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</w:tbl>
    <w:p w14:paraId="7612F761" w14:textId="77777777" w:rsidR="00137548" w:rsidRPr="002815FB" w:rsidRDefault="000057FE" w:rsidP="00137548">
      <w:pPr>
        <w:spacing w:before="120"/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  <w:vertAlign w:val="superscript"/>
        </w:rPr>
        <w:t>1</w:t>
      </w:r>
      <w:r w:rsidR="00C0267F" w:rsidRPr="002815F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96CB0" w:rsidRPr="002815FB">
        <w:rPr>
          <w:rFonts w:ascii="Arial" w:hAnsi="Arial" w:cs="Arial"/>
          <w:sz w:val="20"/>
          <w:szCs w:val="20"/>
        </w:rPr>
        <w:t xml:space="preserve">Average BASIS-24 scores from </w:t>
      </w:r>
      <w:r w:rsidR="00C0267F" w:rsidRPr="002815FB">
        <w:rPr>
          <w:rFonts w:ascii="Arial" w:hAnsi="Arial" w:cs="Arial"/>
          <w:sz w:val="20"/>
          <w:szCs w:val="20"/>
        </w:rPr>
        <w:t xml:space="preserve">331 psychiatric inpatients (28% with psychotic disorders), 165 outpatients from community mental health centers (mostly mood disorders, 3% with psychotic disorders), and 630 people from the general population, baseline </w:t>
      </w:r>
      <w:r w:rsidR="00244948" w:rsidRPr="002815FB">
        <w:rPr>
          <w:rFonts w:ascii="Arial" w:hAnsi="Arial" w:cs="Arial"/>
          <w:sz w:val="20"/>
          <w:szCs w:val="20"/>
        </w:rPr>
        <w:t>data</w:t>
      </w:r>
      <w:r w:rsidR="00A96CB0" w:rsidRPr="002815FB">
        <w:rPr>
          <w:rFonts w:ascii="Arial" w:hAnsi="Arial" w:cs="Arial"/>
          <w:sz w:val="20"/>
          <w:szCs w:val="20"/>
        </w:rPr>
        <w:t xml:space="preserve"> </w:t>
      </w:r>
      <w:r w:rsidR="00C0267F" w:rsidRPr="002815FB">
        <w:rPr>
          <w:rFonts w:ascii="Arial" w:hAnsi="Arial" w:cs="Arial"/>
          <w:sz w:val="20"/>
          <w:szCs w:val="20"/>
        </w:rPr>
        <w:t>only (</w:t>
      </w:r>
      <w:hyperlink r:id="rId4" w:history="1">
        <w:r w:rsidRPr="002815FB">
          <w:rPr>
            <w:rStyle w:val="Hyperlink"/>
            <w:rFonts w:ascii="Arial" w:hAnsi="Arial" w:cs="Arial"/>
            <w:sz w:val="20"/>
            <w:szCs w:val="20"/>
          </w:rPr>
          <w:t>Cameron et al., 2007</w:t>
        </w:r>
      </w:hyperlink>
      <w:r w:rsidR="00C0267F" w:rsidRPr="002815FB">
        <w:rPr>
          <w:rFonts w:ascii="Arial" w:hAnsi="Arial" w:cs="Arial"/>
          <w:sz w:val="20"/>
          <w:szCs w:val="20"/>
        </w:rPr>
        <w:t xml:space="preserve">). </w:t>
      </w:r>
    </w:p>
    <w:p w14:paraId="3BBBEFB0" w14:textId="77777777" w:rsidR="00137548" w:rsidRPr="002815FB" w:rsidRDefault="00137548" w:rsidP="00244948">
      <w:pPr>
        <w:rPr>
          <w:rFonts w:ascii="Arial" w:hAnsi="Arial" w:cs="Arial"/>
          <w:b/>
          <w:sz w:val="20"/>
          <w:szCs w:val="20"/>
        </w:rPr>
      </w:pPr>
    </w:p>
    <w:p w14:paraId="699C7FD4" w14:textId="658BB56C" w:rsidR="00244948" w:rsidRPr="002815FB" w:rsidRDefault="00244948" w:rsidP="00244948">
      <w:pPr>
        <w:rPr>
          <w:rFonts w:ascii="Arial" w:hAnsi="Arial" w:cs="Arial"/>
          <w:b/>
          <w:sz w:val="22"/>
          <w:szCs w:val="22"/>
        </w:rPr>
      </w:pPr>
      <w:r w:rsidRPr="002815FB">
        <w:rPr>
          <w:rFonts w:ascii="Arial" w:hAnsi="Arial" w:cs="Arial"/>
          <w:b/>
          <w:sz w:val="22"/>
          <w:szCs w:val="22"/>
        </w:rPr>
        <w:t>Illness Management &amp; Recovery Scale – Consumer Version (IMRS)</w:t>
      </w:r>
    </w:p>
    <w:p w14:paraId="009EE948" w14:textId="172799F5" w:rsidR="00137548" w:rsidRPr="002815FB" w:rsidRDefault="00244948" w:rsidP="00137548">
      <w:pPr>
        <w:spacing w:before="120"/>
        <w:rPr>
          <w:rFonts w:ascii="Arial" w:hAnsi="Arial" w:cs="Arial"/>
          <w:iCs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>Self-report measure of the Veteran’s perceived ability to manage their illness and pursue their recovery goals</w:t>
      </w:r>
      <w:r w:rsidR="00137548" w:rsidRPr="002815FB">
        <w:rPr>
          <w:rFonts w:ascii="Arial" w:hAnsi="Arial" w:cs="Arial"/>
          <w:sz w:val="20"/>
          <w:szCs w:val="20"/>
        </w:rPr>
        <w:t>, found in Mental Health Assistant as IMRS</w:t>
      </w:r>
      <w:r w:rsidRPr="002815FB">
        <w:rPr>
          <w:rFonts w:ascii="Arial" w:hAnsi="Arial" w:cs="Arial"/>
          <w:sz w:val="20"/>
          <w:szCs w:val="20"/>
        </w:rPr>
        <w:t>. Many of the items refer to the period of the past 3 months. Items are rated on a 1-5 scale</w:t>
      </w:r>
      <w:r w:rsidR="000940C8" w:rsidRPr="002815FB">
        <w:rPr>
          <w:rFonts w:ascii="Arial" w:hAnsi="Arial" w:cs="Arial"/>
          <w:sz w:val="20"/>
          <w:szCs w:val="20"/>
        </w:rPr>
        <w:t xml:space="preserve">. If all items are completed, the range is 15 – 75. If the Veteran is not taking meds and skips item 13, the range is 14 – 70. </w:t>
      </w:r>
      <w:r w:rsidR="000940C8" w:rsidRPr="002815FB">
        <w:rPr>
          <w:rFonts w:ascii="Arial" w:hAnsi="Arial" w:cs="Arial"/>
          <w:i/>
          <w:sz w:val="20"/>
          <w:szCs w:val="20"/>
        </w:rPr>
        <w:t>Higher scores indicating better functioning.</w:t>
      </w:r>
      <w:r w:rsidR="00137548" w:rsidRPr="002815FB">
        <w:rPr>
          <w:rFonts w:ascii="Arial" w:hAnsi="Arial" w:cs="Arial"/>
          <w:iCs/>
          <w:sz w:val="20"/>
          <w:szCs w:val="20"/>
        </w:rPr>
        <w:t xml:space="preserve"> Norms are not available but reference scores from published studies are provided below for comparison.</w:t>
      </w:r>
    </w:p>
    <w:p w14:paraId="1CD814E0" w14:textId="77777777" w:rsidR="00244948" w:rsidRPr="002815FB" w:rsidRDefault="00244948" w:rsidP="002449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759" w:type="dxa"/>
        <w:tblLayout w:type="fixed"/>
        <w:tblLook w:val="04A0" w:firstRow="1" w:lastRow="0" w:firstColumn="1" w:lastColumn="0" w:noHBand="0" w:noVBand="1"/>
      </w:tblPr>
      <w:tblGrid>
        <w:gridCol w:w="3325"/>
        <w:gridCol w:w="1354"/>
        <w:gridCol w:w="1360"/>
        <w:gridCol w:w="1360"/>
        <w:gridCol w:w="1360"/>
      </w:tblGrid>
      <w:tr w:rsidR="00AB17AA" w:rsidRPr="002815FB" w14:paraId="5101A0FB" w14:textId="1637BFD7" w:rsidTr="002815FB">
        <w:trPr>
          <w:trHeight w:val="56"/>
        </w:trPr>
        <w:tc>
          <w:tcPr>
            <w:tcW w:w="3325" w:type="dxa"/>
            <w:vMerge w:val="restart"/>
            <w:shd w:val="clear" w:color="auto" w:fill="D0CECE" w:themeFill="background2" w:themeFillShade="E6"/>
            <w:vAlign w:val="center"/>
          </w:tcPr>
          <w:p w14:paraId="3EBECC48" w14:textId="77777777" w:rsidR="00AB17AA" w:rsidRPr="002815FB" w:rsidRDefault="00AB17AA" w:rsidP="00D32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shd w:val="clear" w:color="auto" w:fill="D0CECE" w:themeFill="background2" w:themeFillShade="E6"/>
            <w:vAlign w:val="bottom"/>
          </w:tcPr>
          <w:p w14:paraId="38AFCADC" w14:textId="320E58CB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Veteran’s Score</w:t>
            </w:r>
          </w:p>
        </w:tc>
        <w:tc>
          <w:tcPr>
            <w:tcW w:w="4080" w:type="dxa"/>
            <w:gridSpan w:val="3"/>
            <w:shd w:val="clear" w:color="auto" w:fill="000000" w:themeFill="text1"/>
            <w:vAlign w:val="bottom"/>
          </w:tcPr>
          <w:p w14:paraId="2E4282EB" w14:textId="22855C93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Reference Scores</w:t>
            </w:r>
          </w:p>
        </w:tc>
      </w:tr>
      <w:tr w:rsidR="00AB17AA" w:rsidRPr="002815FB" w14:paraId="556F34C3" w14:textId="4215852B" w:rsidTr="002815FB">
        <w:trPr>
          <w:trHeight w:val="516"/>
        </w:trPr>
        <w:tc>
          <w:tcPr>
            <w:tcW w:w="3325" w:type="dxa"/>
            <w:vMerge/>
            <w:shd w:val="clear" w:color="auto" w:fill="D0CECE" w:themeFill="background2" w:themeFillShade="E6"/>
            <w:vAlign w:val="center"/>
          </w:tcPr>
          <w:p w14:paraId="28A59F55" w14:textId="6384CE16" w:rsidR="00AB17AA" w:rsidRPr="002815FB" w:rsidRDefault="00AB17AA" w:rsidP="00AB17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auto" w:fill="D0CECE" w:themeFill="background2" w:themeFillShade="E6"/>
            <w:vAlign w:val="bottom"/>
          </w:tcPr>
          <w:p w14:paraId="74DE3E11" w14:textId="34B8D69F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0CECE" w:themeFill="background2" w:themeFillShade="E6"/>
            <w:vAlign w:val="bottom"/>
          </w:tcPr>
          <w:p w14:paraId="27662F8C" w14:textId="2569367F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Day T</w:t>
            </w:r>
            <w:r w:rsidR="00DD0ED8" w:rsidRPr="002815FB">
              <w:rPr>
                <w:rFonts w:ascii="Arial" w:hAnsi="Arial" w:cs="Arial"/>
                <w:b/>
                <w:sz w:val="20"/>
                <w:szCs w:val="20"/>
              </w:rPr>
              <w:t>reatment SMI</w:t>
            </w:r>
            <w:r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bottom"/>
          </w:tcPr>
          <w:p w14:paraId="21F5255F" w14:textId="7465CDD7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ACT teams</w:t>
            </w:r>
            <w:r w:rsidR="00DD0ED8" w:rsidRPr="002815FB">
              <w:rPr>
                <w:rFonts w:ascii="Arial" w:hAnsi="Arial" w:cs="Arial"/>
                <w:b/>
                <w:sz w:val="20"/>
                <w:szCs w:val="20"/>
              </w:rPr>
              <w:t xml:space="preserve"> SMI</w:t>
            </w:r>
            <w:r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bottom"/>
          </w:tcPr>
          <w:p w14:paraId="297C3432" w14:textId="7216740E" w:rsidR="00AB17AA" w:rsidRPr="002815FB" w:rsidRDefault="00AB17AA" w:rsidP="0028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FB">
              <w:rPr>
                <w:rFonts w:ascii="Arial" w:hAnsi="Arial" w:cs="Arial"/>
                <w:b/>
                <w:sz w:val="20"/>
                <w:szCs w:val="20"/>
              </w:rPr>
              <w:t>Assorted community SMI</w:t>
            </w:r>
            <w:r w:rsidRPr="002815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B17AA" w:rsidRPr="002815FB" w14:paraId="2415D869" w14:textId="5072DFDD" w:rsidTr="00AB17AA">
        <w:tc>
          <w:tcPr>
            <w:tcW w:w="3325" w:type="dxa"/>
          </w:tcPr>
          <w:p w14:paraId="7C1B5516" w14:textId="269B4EE3" w:rsidR="00AB17AA" w:rsidRPr="002815FB" w:rsidRDefault="00AB17AA" w:rsidP="00AB17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Total score (sum of all items)</w:t>
            </w:r>
          </w:p>
        </w:tc>
        <w:tc>
          <w:tcPr>
            <w:tcW w:w="1354" w:type="dxa"/>
            <w:vAlign w:val="center"/>
          </w:tcPr>
          <w:p w14:paraId="3F9C39B5" w14:textId="3118CAC7" w:rsidR="00AB17AA" w:rsidRPr="002815FB" w:rsidRDefault="00AB17AA" w:rsidP="00AB17AA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E0C67EB" w14:textId="79183D36" w:rsidR="00AB17AA" w:rsidRPr="002815FB" w:rsidRDefault="00AB17AA" w:rsidP="00AB17AA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1360" w:type="dxa"/>
          </w:tcPr>
          <w:p w14:paraId="030E675E" w14:textId="6950B95D" w:rsidR="00AB17AA" w:rsidRPr="002815FB" w:rsidRDefault="00DD0ED8" w:rsidP="00AB17AA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1360" w:type="dxa"/>
            <w:vAlign w:val="center"/>
          </w:tcPr>
          <w:p w14:paraId="04A955B8" w14:textId="32F5551A" w:rsidR="00AB17AA" w:rsidRPr="002815FB" w:rsidRDefault="00AB17AA" w:rsidP="00AB17AA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B">
              <w:rPr>
                <w:rFonts w:ascii="Arial" w:hAnsi="Arial" w:cs="Arial"/>
                <w:sz w:val="20"/>
                <w:szCs w:val="20"/>
              </w:rPr>
              <w:t>51.0 – 52.5</w:t>
            </w:r>
          </w:p>
        </w:tc>
      </w:tr>
    </w:tbl>
    <w:p w14:paraId="2D9052F0" w14:textId="4B020AE2" w:rsidR="003307B4" w:rsidRPr="002815FB" w:rsidRDefault="003307B4" w:rsidP="00137548">
      <w:pPr>
        <w:spacing w:before="120"/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2815FB">
        <w:rPr>
          <w:rFonts w:ascii="Arial" w:hAnsi="Arial" w:cs="Arial"/>
          <w:sz w:val="20"/>
          <w:szCs w:val="20"/>
        </w:rPr>
        <w:t>57 people with SMI in American outpatient day treatment program</w:t>
      </w:r>
      <w:r w:rsidR="00DD0ED8" w:rsidRPr="002815FB">
        <w:rPr>
          <w:rFonts w:ascii="Arial" w:hAnsi="Arial" w:cs="Arial"/>
          <w:sz w:val="20"/>
          <w:szCs w:val="20"/>
        </w:rPr>
        <w:t>;</w:t>
      </w:r>
      <w:r w:rsidRPr="002815FB">
        <w:rPr>
          <w:rFonts w:ascii="Arial" w:hAnsi="Arial" w:cs="Arial"/>
          <w:sz w:val="20"/>
          <w:szCs w:val="20"/>
        </w:rPr>
        <w:t xml:space="preserve"> 90% schizophrenia-spectrum disorders, 10% mood disorders</w:t>
      </w:r>
      <w:r w:rsidR="00AB17AA" w:rsidRPr="002815FB">
        <w:rPr>
          <w:rFonts w:ascii="Arial" w:hAnsi="Arial" w:cs="Arial"/>
          <w:sz w:val="20"/>
          <w:szCs w:val="20"/>
        </w:rPr>
        <w:t>. B</w:t>
      </w:r>
      <w:r w:rsidRPr="002815FB">
        <w:rPr>
          <w:rFonts w:ascii="Arial" w:hAnsi="Arial" w:cs="Arial"/>
          <w:sz w:val="20"/>
          <w:szCs w:val="20"/>
        </w:rPr>
        <w:t>aseline data only</w:t>
      </w:r>
      <w:r w:rsidR="00AB17AA" w:rsidRPr="002815FB">
        <w:rPr>
          <w:rFonts w:ascii="Arial" w:hAnsi="Arial" w:cs="Arial"/>
          <w:sz w:val="20"/>
          <w:szCs w:val="20"/>
        </w:rPr>
        <w:t>, estimated from item means.</w:t>
      </w:r>
      <w:r w:rsidRPr="002815FB"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Pr="002815FB">
          <w:rPr>
            <w:rStyle w:val="Hyperlink"/>
            <w:rFonts w:ascii="Arial" w:hAnsi="Arial" w:cs="Arial"/>
            <w:sz w:val="20"/>
            <w:szCs w:val="20"/>
          </w:rPr>
          <w:t>Salyers et al., 2007</w:t>
        </w:r>
      </w:hyperlink>
      <w:r w:rsidRPr="002815FB">
        <w:rPr>
          <w:rFonts w:ascii="Arial" w:hAnsi="Arial" w:cs="Arial"/>
          <w:sz w:val="20"/>
          <w:szCs w:val="20"/>
        </w:rPr>
        <w:t>)</w:t>
      </w:r>
    </w:p>
    <w:p w14:paraId="0472A422" w14:textId="79FF7F98" w:rsidR="00AB17AA" w:rsidRPr="002815FB" w:rsidRDefault="00AB17AA" w:rsidP="00AB17AA">
      <w:pPr>
        <w:spacing w:before="120"/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  <w:vertAlign w:val="superscript"/>
        </w:rPr>
        <w:t>2</w:t>
      </w:r>
      <w:r w:rsidRPr="002815FB">
        <w:rPr>
          <w:rFonts w:ascii="Arial" w:hAnsi="Arial" w:cs="Arial"/>
          <w:sz w:val="20"/>
          <w:szCs w:val="20"/>
        </w:rPr>
        <w:t xml:space="preserve"> 101 people with serious mental illness (81% psychotic disorders) in American high-fidelity assertive community treatment teams</w:t>
      </w:r>
      <w:r w:rsidR="00DD0ED8" w:rsidRPr="002815FB">
        <w:rPr>
          <w:rFonts w:ascii="Arial" w:hAnsi="Arial" w:cs="Arial"/>
          <w:sz w:val="20"/>
          <w:szCs w:val="20"/>
        </w:rPr>
        <w:t>. Baseline data only.</w:t>
      </w:r>
      <w:r w:rsidRPr="002815FB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Pr="002815FB">
          <w:rPr>
            <w:rStyle w:val="Hyperlink"/>
            <w:rFonts w:ascii="Arial" w:hAnsi="Arial" w:cs="Arial"/>
            <w:sz w:val="20"/>
            <w:szCs w:val="20"/>
          </w:rPr>
          <w:t>Monroe-DeVita et al., 2018</w:t>
        </w:r>
      </w:hyperlink>
      <w:r w:rsidRPr="002815FB">
        <w:rPr>
          <w:rFonts w:ascii="Arial" w:hAnsi="Arial" w:cs="Arial"/>
          <w:sz w:val="20"/>
          <w:szCs w:val="20"/>
        </w:rPr>
        <w:t xml:space="preserve">). </w:t>
      </w:r>
    </w:p>
    <w:p w14:paraId="0F33E604" w14:textId="6FC23D0C" w:rsidR="00AB17AA" w:rsidRPr="002815FB" w:rsidRDefault="00AB17AA" w:rsidP="00AB17AA">
      <w:pPr>
        <w:spacing w:before="120"/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815FB">
        <w:rPr>
          <w:rFonts w:ascii="Arial" w:hAnsi="Arial" w:cs="Arial"/>
          <w:sz w:val="20"/>
          <w:szCs w:val="20"/>
        </w:rPr>
        <w:t>197 people with unspecified severe mental illness in 6 assorted American community mental health center settings (clubhouses, day treatment, case management, assertive community treatment teams). Baseline data only, estimated from item means. (</w:t>
      </w:r>
      <w:hyperlink r:id="rId7" w:history="1">
        <w:r w:rsidRPr="002815FB">
          <w:rPr>
            <w:rStyle w:val="Hyperlink"/>
            <w:rFonts w:ascii="Arial" w:hAnsi="Arial" w:cs="Arial"/>
            <w:sz w:val="20"/>
            <w:szCs w:val="20"/>
          </w:rPr>
          <w:t>Salyers et al., 2009</w:t>
        </w:r>
      </w:hyperlink>
      <w:r w:rsidRPr="002815FB">
        <w:rPr>
          <w:rFonts w:ascii="Arial" w:hAnsi="Arial" w:cs="Arial"/>
          <w:sz w:val="20"/>
          <w:szCs w:val="20"/>
        </w:rPr>
        <w:t>)</w:t>
      </w:r>
    </w:p>
    <w:p w14:paraId="4E42F091" w14:textId="77777777" w:rsidR="00AB17AA" w:rsidRPr="002815FB" w:rsidRDefault="00AB17AA" w:rsidP="00244948">
      <w:pPr>
        <w:spacing w:before="120"/>
        <w:rPr>
          <w:rFonts w:ascii="Arial" w:hAnsi="Arial" w:cs="Arial"/>
          <w:sz w:val="20"/>
          <w:szCs w:val="20"/>
          <w:vertAlign w:val="superscript"/>
        </w:rPr>
      </w:pPr>
    </w:p>
    <w:p w14:paraId="0B3A306A" w14:textId="22A643BA" w:rsidR="000057FE" w:rsidRPr="002815FB" w:rsidRDefault="00137548">
      <w:pPr>
        <w:rPr>
          <w:rFonts w:ascii="Arial" w:hAnsi="Arial" w:cs="Arial"/>
          <w:b/>
        </w:rPr>
      </w:pPr>
      <w:r w:rsidRPr="002815FB">
        <w:rPr>
          <w:rFonts w:ascii="Arial" w:hAnsi="Arial" w:cs="Arial"/>
          <w:b/>
        </w:rPr>
        <w:t>Additional Possible Measures</w:t>
      </w:r>
    </w:p>
    <w:p w14:paraId="5F80EED7" w14:textId="429FEF31" w:rsidR="00137548" w:rsidRPr="002815FB" w:rsidRDefault="00137548">
      <w:pPr>
        <w:rPr>
          <w:rFonts w:ascii="Arial" w:hAnsi="Arial" w:cs="Arial"/>
          <w:sz w:val="20"/>
          <w:szCs w:val="20"/>
        </w:rPr>
      </w:pPr>
    </w:p>
    <w:p w14:paraId="0CA7F0F0" w14:textId="5C767078" w:rsidR="005F7CD8" w:rsidRPr="002815FB" w:rsidRDefault="005F7CD8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>The following measures are not available on Mental Health Assistant but may be used in CBTp to assess the Veteran’s voices and paranoia in more detail, if indicated.</w:t>
      </w:r>
    </w:p>
    <w:p w14:paraId="40EAE417" w14:textId="77777777" w:rsidR="005F7CD8" w:rsidRPr="002815FB" w:rsidRDefault="005F7CD8">
      <w:pPr>
        <w:rPr>
          <w:rFonts w:ascii="Arial" w:hAnsi="Arial" w:cs="Arial"/>
          <w:sz w:val="20"/>
          <w:szCs w:val="20"/>
        </w:rPr>
      </w:pPr>
    </w:p>
    <w:p w14:paraId="0676EE0F" w14:textId="5CCA0671" w:rsidR="00137548" w:rsidRPr="002815FB" w:rsidRDefault="00137548">
      <w:pPr>
        <w:rPr>
          <w:rFonts w:ascii="Arial" w:hAnsi="Arial" w:cs="Arial"/>
          <w:sz w:val="22"/>
          <w:szCs w:val="22"/>
        </w:rPr>
      </w:pPr>
      <w:r w:rsidRPr="002815FB">
        <w:rPr>
          <w:rFonts w:ascii="Arial" w:hAnsi="Arial" w:cs="Arial"/>
          <w:b/>
          <w:bCs/>
          <w:sz w:val="22"/>
          <w:szCs w:val="22"/>
        </w:rPr>
        <w:t>Beliefs About Voices Questionnaire</w:t>
      </w:r>
      <w:r w:rsidR="00467555" w:rsidRPr="002815FB">
        <w:rPr>
          <w:rFonts w:ascii="Arial" w:hAnsi="Arial" w:cs="Arial"/>
          <w:b/>
          <w:bCs/>
          <w:sz w:val="22"/>
          <w:szCs w:val="22"/>
        </w:rPr>
        <w:t xml:space="preserve">-Revised </w:t>
      </w:r>
      <w:r w:rsidRPr="002815FB">
        <w:rPr>
          <w:rFonts w:ascii="Arial" w:hAnsi="Arial" w:cs="Arial"/>
          <w:b/>
          <w:bCs/>
          <w:sz w:val="22"/>
          <w:szCs w:val="22"/>
        </w:rPr>
        <w:t>(BAVQ</w:t>
      </w:r>
      <w:r w:rsidR="00467555" w:rsidRPr="002815FB">
        <w:rPr>
          <w:rFonts w:ascii="Arial" w:hAnsi="Arial" w:cs="Arial"/>
          <w:b/>
          <w:bCs/>
          <w:sz w:val="22"/>
          <w:szCs w:val="22"/>
        </w:rPr>
        <w:t>-R</w:t>
      </w:r>
      <w:r w:rsidRPr="002815FB">
        <w:rPr>
          <w:rFonts w:ascii="Arial" w:hAnsi="Arial" w:cs="Arial"/>
          <w:b/>
          <w:bCs/>
          <w:sz w:val="22"/>
          <w:szCs w:val="22"/>
        </w:rPr>
        <w:t>)</w:t>
      </w:r>
      <w:r w:rsidR="00467555" w:rsidRPr="002815FB">
        <w:rPr>
          <w:rFonts w:ascii="Arial" w:hAnsi="Arial" w:cs="Arial"/>
          <w:b/>
          <w:bCs/>
          <w:sz w:val="22"/>
          <w:szCs w:val="22"/>
        </w:rPr>
        <w:t xml:space="preserve"> </w:t>
      </w:r>
      <w:r w:rsidR="00467555" w:rsidRPr="002815FB">
        <w:rPr>
          <w:rFonts w:ascii="Arial" w:hAnsi="Arial" w:cs="Arial"/>
          <w:sz w:val="22"/>
          <w:szCs w:val="22"/>
        </w:rPr>
        <w:t>(</w:t>
      </w:r>
      <w:hyperlink r:id="rId8" w:history="1">
        <w:r w:rsidR="00467555" w:rsidRPr="002815FB">
          <w:rPr>
            <w:rStyle w:val="Hyperlink"/>
            <w:rFonts w:ascii="Arial" w:hAnsi="Arial" w:cs="Arial"/>
            <w:sz w:val="22"/>
            <w:szCs w:val="22"/>
          </w:rPr>
          <w:t>Chadwick et al., 2000</w:t>
        </w:r>
      </w:hyperlink>
      <w:r w:rsidR="008B0821" w:rsidRPr="002815FB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8B0821" w:rsidRPr="002815FB">
          <w:rPr>
            <w:rStyle w:val="Hyperlink"/>
            <w:rFonts w:ascii="Arial" w:hAnsi="Arial" w:cs="Arial"/>
            <w:sz w:val="22"/>
            <w:szCs w:val="22"/>
          </w:rPr>
          <w:t>Strauss et al., 2018</w:t>
        </w:r>
      </w:hyperlink>
      <w:r w:rsidR="008B0821" w:rsidRPr="002815FB">
        <w:rPr>
          <w:rFonts w:ascii="Arial" w:hAnsi="Arial" w:cs="Arial"/>
          <w:sz w:val="22"/>
          <w:szCs w:val="22"/>
        </w:rPr>
        <w:t>)</w:t>
      </w:r>
    </w:p>
    <w:p w14:paraId="03CD8914" w14:textId="00D72BD3" w:rsidR="00467555" w:rsidRPr="002815FB" w:rsidRDefault="00467555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 xml:space="preserve">A </w:t>
      </w:r>
      <w:r w:rsidR="008B0821" w:rsidRPr="002815FB">
        <w:rPr>
          <w:rFonts w:ascii="Arial" w:hAnsi="Arial" w:cs="Arial"/>
          <w:sz w:val="20"/>
          <w:szCs w:val="20"/>
        </w:rPr>
        <w:t xml:space="preserve">29-item </w:t>
      </w:r>
      <w:r w:rsidRPr="002815FB">
        <w:rPr>
          <w:rFonts w:ascii="Arial" w:hAnsi="Arial" w:cs="Arial"/>
          <w:sz w:val="20"/>
          <w:szCs w:val="20"/>
        </w:rPr>
        <w:t xml:space="preserve">self-report measure of patients' beliefs, </w:t>
      </w:r>
      <w:proofErr w:type="gramStart"/>
      <w:r w:rsidRPr="002815FB">
        <w:rPr>
          <w:rFonts w:ascii="Arial" w:hAnsi="Arial" w:cs="Arial"/>
          <w:sz w:val="20"/>
          <w:szCs w:val="20"/>
        </w:rPr>
        <w:t>emotions</w:t>
      </w:r>
      <w:proofErr w:type="gramEnd"/>
      <w:r w:rsidRPr="002815FB">
        <w:rPr>
          <w:rFonts w:ascii="Arial" w:hAnsi="Arial" w:cs="Arial"/>
          <w:sz w:val="20"/>
          <w:szCs w:val="20"/>
        </w:rPr>
        <w:t xml:space="preserve"> and behavior about auditory hallucinations.</w:t>
      </w:r>
      <w:r w:rsidR="005F7CD8" w:rsidRPr="002815FB">
        <w:rPr>
          <w:rFonts w:ascii="Arial" w:hAnsi="Arial" w:cs="Arial"/>
          <w:sz w:val="20"/>
          <w:szCs w:val="20"/>
        </w:rPr>
        <w:t xml:space="preserve"> It can be administered in a conversational manner during therapy sessions to learn more about the Veteran’s relationship with their voices.</w:t>
      </w:r>
    </w:p>
    <w:p w14:paraId="777B28CE" w14:textId="59B8DFBE" w:rsidR="00137548" w:rsidRPr="002815FB" w:rsidRDefault="00137548">
      <w:pPr>
        <w:rPr>
          <w:rFonts w:ascii="Arial" w:hAnsi="Arial" w:cs="Arial"/>
          <w:sz w:val="20"/>
          <w:szCs w:val="20"/>
        </w:rPr>
      </w:pPr>
    </w:p>
    <w:bookmarkStart w:id="0" w:name="_MON_1696171188"/>
    <w:bookmarkEnd w:id="0"/>
    <w:p w14:paraId="2493CE5E" w14:textId="019C402E" w:rsidR="005F7CD8" w:rsidRPr="002815FB" w:rsidRDefault="008B0821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object w:dxaOrig="1539" w:dyaOrig="997" w14:anchorId="6256D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8" ShapeID="_x0000_i1025" DrawAspect="Icon" ObjectID="_1701534262" r:id="rId11">
            <o:FieldCodes>\s</o:FieldCodes>
          </o:OLEObject>
        </w:object>
      </w:r>
    </w:p>
    <w:p w14:paraId="77EF6240" w14:textId="77777777" w:rsidR="005F7CD8" w:rsidRPr="002815FB" w:rsidRDefault="005F7CD8">
      <w:pPr>
        <w:rPr>
          <w:rFonts w:ascii="Arial" w:hAnsi="Arial" w:cs="Arial"/>
          <w:sz w:val="20"/>
          <w:szCs w:val="20"/>
        </w:rPr>
      </w:pPr>
    </w:p>
    <w:p w14:paraId="10F6C085" w14:textId="3FAA7050" w:rsidR="00137548" w:rsidRPr="002815FB" w:rsidRDefault="00467555">
      <w:pPr>
        <w:rPr>
          <w:rFonts w:ascii="Arial" w:hAnsi="Arial" w:cs="Arial"/>
          <w:sz w:val="22"/>
          <w:szCs w:val="22"/>
        </w:rPr>
      </w:pPr>
      <w:r w:rsidRPr="002815FB">
        <w:rPr>
          <w:rFonts w:ascii="Arial" w:hAnsi="Arial" w:cs="Arial"/>
          <w:b/>
          <w:bCs/>
          <w:sz w:val="22"/>
          <w:szCs w:val="22"/>
        </w:rPr>
        <w:t xml:space="preserve">Revised </w:t>
      </w:r>
      <w:r w:rsidR="005F7CD8" w:rsidRPr="002815FB">
        <w:rPr>
          <w:rFonts w:ascii="Arial" w:hAnsi="Arial" w:cs="Arial"/>
          <w:b/>
          <w:bCs/>
          <w:sz w:val="22"/>
          <w:szCs w:val="22"/>
        </w:rPr>
        <w:t xml:space="preserve">Green et al. </w:t>
      </w:r>
      <w:r w:rsidR="00137548" w:rsidRPr="002815FB">
        <w:rPr>
          <w:rFonts w:ascii="Arial" w:hAnsi="Arial" w:cs="Arial"/>
          <w:b/>
          <w:bCs/>
          <w:sz w:val="22"/>
          <w:szCs w:val="22"/>
        </w:rPr>
        <w:t>Paranoid Thoughts Scale</w:t>
      </w:r>
      <w:r w:rsidRPr="002815FB">
        <w:rPr>
          <w:rFonts w:ascii="Arial" w:hAnsi="Arial" w:cs="Arial"/>
          <w:b/>
          <w:bCs/>
          <w:sz w:val="22"/>
          <w:szCs w:val="22"/>
        </w:rPr>
        <w:t xml:space="preserve"> (R-</w:t>
      </w:r>
      <w:r w:rsidR="005F7CD8" w:rsidRPr="002815FB">
        <w:rPr>
          <w:rFonts w:ascii="Arial" w:hAnsi="Arial" w:cs="Arial"/>
          <w:b/>
          <w:bCs/>
          <w:sz w:val="22"/>
          <w:szCs w:val="22"/>
        </w:rPr>
        <w:t>G</w:t>
      </w:r>
      <w:r w:rsidRPr="002815FB">
        <w:rPr>
          <w:rFonts w:ascii="Arial" w:hAnsi="Arial" w:cs="Arial"/>
          <w:b/>
          <w:bCs/>
          <w:sz w:val="22"/>
          <w:szCs w:val="22"/>
        </w:rPr>
        <w:t xml:space="preserve">PTS) </w:t>
      </w:r>
      <w:r w:rsidRPr="002815FB">
        <w:rPr>
          <w:rFonts w:ascii="Arial" w:hAnsi="Arial" w:cs="Arial"/>
          <w:sz w:val="22"/>
          <w:szCs w:val="22"/>
        </w:rPr>
        <w:t>(</w:t>
      </w:r>
      <w:hyperlink r:id="rId12" w:history="1">
        <w:r w:rsidR="005F7CD8" w:rsidRPr="002815FB">
          <w:rPr>
            <w:rStyle w:val="Hyperlink"/>
            <w:rFonts w:ascii="Arial" w:hAnsi="Arial" w:cs="Arial"/>
            <w:sz w:val="22"/>
            <w:szCs w:val="22"/>
          </w:rPr>
          <w:t>Green et al., 2008</w:t>
        </w:r>
      </w:hyperlink>
      <w:r w:rsidR="005F7CD8" w:rsidRPr="002815FB">
        <w:rPr>
          <w:rFonts w:ascii="Arial" w:hAnsi="Arial" w:cs="Arial"/>
          <w:sz w:val="22"/>
          <w:szCs w:val="22"/>
        </w:rPr>
        <w:t xml:space="preserve">; </w:t>
      </w:r>
      <w:hyperlink r:id="rId13" w:history="1">
        <w:r w:rsidR="005F7CD8" w:rsidRPr="002815FB">
          <w:rPr>
            <w:rStyle w:val="Hyperlink"/>
            <w:rFonts w:ascii="Arial" w:hAnsi="Arial" w:cs="Arial"/>
            <w:sz w:val="22"/>
            <w:szCs w:val="22"/>
          </w:rPr>
          <w:t>Freeman</w:t>
        </w:r>
        <w:r w:rsidRPr="002815FB">
          <w:rPr>
            <w:rStyle w:val="Hyperlink"/>
            <w:rFonts w:ascii="Arial" w:hAnsi="Arial" w:cs="Arial"/>
            <w:sz w:val="22"/>
            <w:szCs w:val="22"/>
          </w:rPr>
          <w:t xml:space="preserve"> et al., 2019</w:t>
        </w:r>
      </w:hyperlink>
      <w:r w:rsidRPr="002815FB">
        <w:rPr>
          <w:rFonts w:ascii="Arial" w:hAnsi="Arial" w:cs="Arial"/>
          <w:sz w:val="22"/>
          <w:szCs w:val="22"/>
        </w:rPr>
        <w:t>)</w:t>
      </w:r>
    </w:p>
    <w:p w14:paraId="22DFB849" w14:textId="690BA837" w:rsidR="00467555" w:rsidRPr="002815FB" w:rsidRDefault="00467555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>An 18-item self-report measure or paranoia</w:t>
      </w:r>
      <w:r w:rsidR="005F7CD8" w:rsidRPr="002815FB">
        <w:rPr>
          <w:rFonts w:ascii="Arial" w:hAnsi="Arial" w:cs="Arial"/>
          <w:sz w:val="20"/>
          <w:szCs w:val="20"/>
        </w:rPr>
        <w:t>. Severity cutoff scores are provided.</w:t>
      </w:r>
    </w:p>
    <w:p w14:paraId="74E6CF53" w14:textId="77777777" w:rsidR="00467555" w:rsidRPr="002815FB" w:rsidRDefault="00467555">
      <w:pPr>
        <w:rPr>
          <w:rFonts w:ascii="Arial" w:hAnsi="Arial" w:cs="Arial"/>
          <w:b/>
          <w:bCs/>
          <w:sz w:val="20"/>
          <w:szCs w:val="20"/>
        </w:rPr>
      </w:pPr>
    </w:p>
    <w:bookmarkStart w:id="1" w:name="_MON_1696171246"/>
    <w:bookmarkEnd w:id="1"/>
    <w:p w14:paraId="55812644" w14:textId="45C97066" w:rsidR="008B0821" w:rsidRPr="002815FB" w:rsidRDefault="008B0821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object w:dxaOrig="1539" w:dyaOrig="997" w14:anchorId="5FA2B473">
          <v:shape id="_x0000_i1026" type="#_x0000_t75" style="width:77.25pt;height:49.5pt" o:ole="">
            <v:imagedata r:id="rId14" o:title=""/>
          </v:shape>
          <o:OLEObject Type="Embed" ProgID="Word.Document.12" ShapeID="_x0000_i1026" DrawAspect="Icon" ObjectID="_1701534263" r:id="rId15">
            <o:FieldCodes>\s</o:FieldCodes>
          </o:OLEObject>
        </w:object>
      </w:r>
    </w:p>
    <w:p w14:paraId="5BE9D165" w14:textId="080B6062" w:rsidR="008B0821" w:rsidRPr="002815FB" w:rsidRDefault="008B0821">
      <w:pPr>
        <w:rPr>
          <w:rFonts w:ascii="Arial" w:hAnsi="Arial" w:cs="Arial"/>
          <w:sz w:val="20"/>
          <w:szCs w:val="20"/>
        </w:rPr>
      </w:pPr>
    </w:p>
    <w:p w14:paraId="377D5210" w14:textId="42D92E0C" w:rsidR="008B0821" w:rsidRPr="002815FB" w:rsidRDefault="008B0821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t>The following spreadsheet can be used to automatically score these measures.</w:t>
      </w:r>
    </w:p>
    <w:p w14:paraId="55B36EDC" w14:textId="77777777" w:rsidR="008B0821" w:rsidRPr="002815FB" w:rsidRDefault="008B0821">
      <w:pPr>
        <w:rPr>
          <w:rFonts w:ascii="Arial" w:hAnsi="Arial" w:cs="Arial"/>
          <w:sz w:val="20"/>
          <w:szCs w:val="20"/>
        </w:rPr>
      </w:pPr>
    </w:p>
    <w:p w14:paraId="06F61AA2" w14:textId="23E7AB34" w:rsidR="008B0821" w:rsidRPr="002815FB" w:rsidRDefault="00516D64">
      <w:pPr>
        <w:rPr>
          <w:rFonts w:ascii="Arial" w:hAnsi="Arial" w:cs="Arial"/>
          <w:sz w:val="20"/>
          <w:szCs w:val="20"/>
        </w:rPr>
      </w:pPr>
      <w:r w:rsidRPr="002815FB">
        <w:rPr>
          <w:rFonts w:ascii="Arial" w:hAnsi="Arial" w:cs="Arial"/>
          <w:sz w:val="20"/>
          <w:szCs w:val="20"/>
        </w:rPr>
        <w:object w:dxaOrig="1539" w:dyaOrig="997" w14:anchorId="7F00A60E">
          <v:shape id="_x0000_i1027" type="#_x0000_t75" style="width:77.25pt;height:49.5pt" o:ole="">
            <v:imagedata r:id="rId16" o:title=""/>
          </v:shape>
          <o:OLEObject Type="Embed" ProgID="Excel.Sheet.12" ShapeID="_x0000_i1027" DrawAspect="Icon" ObjectID="_1701534264" r:id="rId17"/>
        </w:object>
      </w:r>
    </w:p>
    <w:p w14:paraId="36371E3A" w14:textId="005E4AA4" w:rsidR="008B0821" w:rsidRDefault="008B0821">
      <w:pPr>
        <w:rPr>
          <w:rFonts w:ascii="Arial" w:hAnsi="Arial" w:cs="Arial"/>
          <w:sz w:val="20"/>
          <w:szCs w:val="20"/>
        </w:rPr>
      </w:pPr>
    </w:p>
    <w:p w14:paraId="3C621952" w14:textId="1A722AEC" w:rsidR="002815FB" w:rsidRDefault="002815FB">
      <w:pPr>
        <w:rPr>
          <w:rFonts w:ascii="Arial" w:hAnsi="Arial" w:cs="Arial"/>
          <w:sz w:val="20"/>
          <w:szCs w:val="20"/>
        </w:rPr>
      </w:pPr>
    </w:p>
    <w:p w14:paraId="28E55037" w14:textId="00431577" w:rsidR="002815FB" w:rsidRDefault="002815FB">
      <w:pPr>
        <w:rPr>
          <w:rFonts w:ascii="Arial" w:hAnsi="Arial" w:cs="Arial"/>
          <w:sz w:val="20"/>
          <w:szCs w:val="20"/>
        </w:rPr>
      </w:pPr>
    </w:p>
    <w:p w14:paraId="289B34A6" w14:textId="653F838B" w:rsidR="002815FB" w:rsidRDefault="002815FB">
      <w:pPr>
        <w:rPr>
          <w:rFonts w:ascii="Arial" w:hAnsi="Arial" w:cs="Arial"/>
          <w:sz w:val="20"/>
          <w:szCs w:val="20"/>
        </w:rPr>
      </w:pPr>
    </w:p>
    <w:p w14:paraId="50A65F69" w14:textId="19A718E9" w:rsidR="002815FB" w:rsidRDefault="002815FB">
      <w:pPr>
        <w:rPr>
          <w:rFonts w:ascii="Arial" w:hAnsi="Arial" w:cs="Arial"/>
          <w:sz w:val="20"/>
          <w:szCs w:val="20"/>
        </w:rPr>
      </w:pPr>
    </w:p>
    <w:p w14:paraId="5C7AAFE7" w14:textId="77777777" w:rsidR="002815FB" w:rsidRDefault="002815FB">
      <w:pPr>
        <w:rPr>
          <w:rFonts w:ascii="Arial" w:hAnsi="Arial" w:cs="Arial"/>
          <w:sz w:val="20"/>
          <w:szCs w:val="20"/>
        </w:rPr>
      </w:pPr>
    </w:p>
    <w:p w14:paraId="49926F63" w14:textId="77777777" w:rsidR="002815FB" w:rsidRDefault="002815FB">
      <w:pPr>
        <w:rPr>
          <w:rFonts w:ascii="Arial" w:hAnsi="Arial" w:cs="Arial"/>
          <w:sz w:val="20"/>
          <w:szCs w:val="20"/>
        </w:rPr>
      </w:pPr>
    </w:p>
    <w:p w14:paraId="41992514" w14:textId="77777777" w:rsidR="002815FB" w:rsidRDefault="002815FB">
      <w:pPr>
        <w:rPr>
          <w:rFonts w:ascii="Arial" w:hAnsi="Arial" w:cs="Arial"/>
          <w:sz w:val="20"/>
          <w:szCs w:val="20"/>
        </w:rPr>
      </w:pPr>
    </w:p>
    <w:p w14:paraId="73956223" w14:textId="77777777" w:rsidR="002815FB" w:rsidRDefault="002815FB">
      <w:pPr>
        <w:rPr>
          <w:rFonts w:ascii="Arial" w:hAnsi="Arial" w:cs="Arial"/>
          <w:sz w:val="20"/>
          <w:szCs w:val="20"/>
        </w:rPr>
      </w:pPr>
    </w:p>
    <w:p w14:paraId="53DAADA0" w14:textId="16628D54" w:rsidR="002815FB" w:rsidRPr="002815FB" w:rsidRDefault="002815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by Dimitri </w:t>
      </w:r>
      <w:proofErr w:type="spellStart"/>
      <w:r>
        <w:rPr>
          <w:rFonts w:ascii="Arial" w:hAnsi="Arial" w:cs="Arial"/>
          <w:sz w:val="20"/>
          <w:szCs w:val="20"/>
        </w:rPr>
        <w:t>Perivoliotis</w:t>
      </w:r>
      <w:proofErr w:type="spellEnd"/>
      <w:r>
        <w:rPr>
          <w:rFonts w:ascii="Arial" w:hAnsi="Arial" w:cs="Arial"/>
          <w:sz w:val="20"/>
          <w:szCs w:val="20"/>
        </w:rPr>
        <w:t>, Ph.D. 2021, VA San Diego Healthcare System</w:t>
      </w:r>
    </w:p>
    <w:sectPr w:rsidR="002815FB" w:rsidRPr="002815FB" w:rsidSect="00924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DA"/>
    <w:rsid w:val="00004DD2"/>
    <w:rsid w:val="000057FE"/>
    <w:rsid w:val="00017B1E"/>
    <w:rsid w:val="00022ABE"/>
    <w:rsid w:val="00023CBD"/>
    <w:rsid w:val="000248DB"/>
    <w:rsid w:val="00034396"/>
    <w:rsid w:val="00044210"/>
    <w:rsid w:val="00050273"/>
    <w:rsid w:val="00051235"/>
    <w:rsid w:val="00051875"/>
    <w:rsid w:val="00062A89"/>
    <w:rsid w:val="0006344D"/>
    <w:rsid w:val="000650E2"/>
    <w:rsid w:val="00065DEC"/>
    <w:rsid w:val="00075D3C"/>
    <w:rsid w:val="00081BF9"/>
    <w:rsid w:val="00087DE9"/>
    <w:rsid w:val="00090A78"/>
    <w:rsid w:val="000940C8"/>
    <w:rsid w:val="000A6E41"/>
    <w:rsid w:val="000B2717"/>
    <w:rsid w:val="000B3757"/>
    <w:rsid w:val="000D5459"/>
    <w:rsid w:val="000E7429"/>
    <w:rsid w:val="000F0946"/>
    <w:rsid w:val="00107B98"/>
    <w:rsid w:val="00110C63"/>
    <w:rsid w:val="00137548"/>
    <w:rsid w:val="0013787A"/>
    <w:rsid w:val="00144F48"/>
    <w:rsid w:val="001533D8"/>
    <w:rsid w:val="00170C15"/>
    <w:rsid w:val="00176041"/>
    <w:rsid w:val="001A34DB"/>
    <w:rsid w:val="001A3E1B"/>
    <w:rsid w:val="001A5304"/>
    <w:rsid w:val="001A5952"/>
    <w:rsid w:val="001B2857"/>
    <w:rsid w:val="001C51D6"/>
    <w:rsid w:val="001D4909"/>
    <w:rsid w:val="001E4EE4"/>
    <w:rsid w:val="001F4E52"/>
    <w:rsid w:val="001F6362"/>
    <w:rsid w:val="002258EB"/>
    <w:rsid w:val="0024153E"/>
    <w:rsid w:val="00244948"/>
    <w:rsid w:val="002576BE"/>
    <w:rsid w:val="00265301"/>
    <w:rsid w:val="002733C8"/>
    <w:rsid w:val="00274C09"/>
    <w:rsid w:val="002815FB"/>
    <w:rsid w:val="00287906"/>
    <w:rsid w:val="00290BF2"/>
    <w:rsid w:val="002952C7"/>
    <w:rsid w:val="002A6F5D"/>
    <w:rsid w:val="002B6209"/>
    <w:rsid w:val="002D234D"/>
    <w:rsid w:val="002D4FAD"/>
    <w:rsid w:val="00301ED3"/>
    <w:rsid w:val="003039E4"/>
    <w:rsid w:val="00305AD9"/>
    <w:rsid w:val="003108ED"/>
    <w:rsid w:val="003307B4"/>
    <w:rsid w:val="00337B2A"/>
    <w:rsid w:val="00341665"/>
    <w:rsid w:val="003506F5"/>
    <w:rsid w:val="003507B9"/>
    <w:rsid w:val="003661A9"/>
    <w:rsid w:val="00382CCF"/>
    <w:rsid w:val="003A1C72"/>
    <w:rsid w:val="003D131A"/>
    <w:rsid w:val="003D28F9"/>
    <w:rsid w:val="003D6ACD"/>
    <w:rsid w:val="003E0E8E"/>
    <w:rsid w:val="003E2977"/>
    <w:rsid w:val="004021D6"/>
    <w:rsid w:val="004026AE"/>
    <w:rsid w:val="00404AFD"/>
    <w:rsid w:val="00422F90"/>
    <w:rsid w:val="00451816"/>
    <w:rsid w:val="00466D61"/>
    <w:rsid w:val="00467555"/>
    <w:rsid w:val="004842E4"/>
    <w:rsid w:val="004921EB"/>
    <w:rsid w:val="00494E49"/>
    <w:rsid w:val="004A399F"/>
    <w:rsid w:val="004A4A05"/>
    <w:rsid w:val="004A5BCC"/>
    <w:rsid w:val="004A6973"/>
    <w:rsid w:val="004B7239"/>
    <w:rsid w:val="004C0E89"/>
    <w:rsid w:val="004C7209"/>
    <w:rsid w:val="004D09B9"/>
    <w:rsid w:val="004F21F2"/>
    <w:rsid w:val="004F6473"/>
    <w:rsid w:val="00505149"/>
    <w:rsid w:val="0051682E"/>
    <w:rsid w:val="00516D64"/>
    <w:rsid w:val="005227EA"/>
    <w:rsid w:val="0052697F"/>
    <w:rsid w:val="0053052F"/>
    <w:rsid w:val="00536D33"/>
    <w:rsid w:val="00556D1D"/>
    <w:rsid w:val="00576C0D"/>
    <w:rsid w:val="005A54A3"/>
    <w:rsid w:val="005B4035"/>
    <w:rsid w:val="005C6162"/>
    <w:rsid w:val="005C6E5F"/>
    <w:rsid w:val="005D1549"/>
    <w:rsid w:val="005E2AC4"/>
    <w:rsid w:val="005F7C84"/>
    <w:rsid w:val="005F7CD8"/>
    <w:rsid w:val="005F7F3B"/>
    <w:rsid w:val="0060305F"/>
    <w:rsid w:val="00612F97"/>
    <w:rsid w:val="00654D1D"/>
    <w:rsid w:val="006618A4"/>
    <w:rsid w:val="00662619"/>
    <w:rsid w:val="006A12A3"/>
    <w:rsid w:val="006B3849"/>
    <w:rsid w:val="006C43B5"/>
    <w:rsid w:val="006D04C6"/>
    <w:rsid w:val="006E03A9"/>
    <w:rsid w:val="006E4104"/>
    <w:rsid w:val="0071699E"/>
    <w:rsid w:val="0072064F"/>
    <w:rsid w:val="00723115"/>
    <w:rsid w:val="007330FC"/>
    <w:rsid w:val="00736961"/>
    <w:rsid w:val="00737EAD"/>
    <w:rsid w:val="007450E2"/>
    <w:rsid w:val="007518CC"/>
    <w:rsid w:val="007715C4"/>
    <w:rsid w:val="00780042"/>
    <w:rsid w:val="0078672A"/>
    <w:rsid w:val="007A2C37"/>
    <w:rsid w:val="007A6016"/>
    <w:rsid w:val="007A7614"/>
    <w:rsid w:val="007B4060"/>
    <w:rsid w:val="007D0BB2"/>
    <w:rsid w:val="007D0CE0"/>
    <w:rsid w:val="007D53DC"/>
    <w:rsid w:val="007D55B4"/>
    <w:rsid w:val="007D643D"/>
    <w:rsid w:val="007E0BCE"/>
    <w:rsid w:val="007F3B36"/>
    <w:rsid w:val="00817E20"/>
    <w:rsid w:val="00825587"/>
    <w:rsid w:val="00832D39"/>
    <w:rsid w:val="00843F2E"/>
    <w:rsid w:val="0084611A"/>
    <w:rsid w:val="008506E2"/>
    <w:rsid w:val="00862BFF"/>
    <w:rsid w:val="00883193"/>
    <w:rsid w:val="008A05AC"/>
    <w:rsid w:val="008B0821"/>
    <w:rsid w:val="008B2623"/>
    <w:rsid w:val="008C1355"/>
    <w:rsid w:val="008C34AC"/>
    <w:rsid w:val="008D167A"/>
    <w:rsid w:val="008D1DD1"/>
    <w:rsid w:val="008D2C3D"/>
    <w:rsid w:val="008F3FA6"/>
    <w:rsid w:val="00911CAD"/>
    <w:rsid w:val="0091587F"/>
    <w:rsid w:val="0092069B"/>
    <w:rsid w:val="009244F8"/>
    <w:rsid w:val="00927098"/>
    <w:rsid w:val="0093105C"/>
    <w:rsid w:val="009607F9"/>
    <w:rsid w:val="00972E5D"/>
    <w:rsid w:val="00977503"/>
    <w:rsid w:val="00987034"/>
    <w:rsid w:val="00991A74"/>
    <w:rsid w:val="00991C4E"/>
    <w:rsid w:val="009A10BE"/>
    <w:rsid w:val="009A3E2F"/>
    <w:rsid w:val="009A4397"/>
    <w:rsid w:val="009A4AB9"/>
    <w:rsid w:val="009B049D"/>
    <w:rsid w:val="009C046A"/>
    <w:rsid w:val="009C5F52"/>
    <w:rsid w:val="009D45F8"/>
    <w:rsid w:val="009E27FA"/>
    <w:rsid w:val="009F38F1"/>
    <w:rsid w:val="00A02E4B"/>
    <w:rsid w:val="00A040DC"/>
    <w:rsid w:val="00A21367"/>
    <w:rsid w:val="00A277A5"/>
    <w:rsid w:val="00A601E0"/>
    <w:rsid w:val="00A666FF"/>
    <w:rsid w:val="00A70C60"/>
    <w:rsid w:val="00A714B5"/>
    <w:rsid w:val="00A7593D"/>
    <w:rsid w:val="00A76676"/>
    <w:rsid w:val="00A90374"/>
    <w:rsid w:val="00A91D02"/>
    <w:rsid w:val="00A948DB"/>
    <w:rsid w:val="00A95783"/>
    <w:rsid w:val="00A96CB0"/>
    <w:rsid w:val="00AA3DBB"/>
    <w:rsid w:val="00AB17AA"/>
    <w:rsid w:val="00AB6477"/>
    <w:rsid w:val="00AB7956"/>
    <w:rsid w:val="00AC4F4E"/>
    <w:rsid w:val="00AD180F"/>
    <w:rsid w:val="00AD5D16"/>
    <w:rsid w:val="00AD7EA1"/>
    <w:rsid w:val="00AF0320"/>
    <w:rsid w:val="00AF163B"/>
    <w:rsid w:val="00AF1B4D"/>
    <w:rsid w:val="00AF6DC3"/>
    <w:rsid w:val="00B027F9"/>
    <w:rsid w:val="00B05D7E"/>
    <w:rsid w:val="00B0664C"/>
    <w:rsid w:val="00B25F42"/>
    <w:rsid w:val="00B26527"/>
    <w:rsid w:val="00B463D6"/>
    <w:rsid w:val="00B4688A"/>
    <w:rsid w:val="00B62525"/>
    <w:rsid w:val="00B675F3"/>
    <w:rsid w:val="00B73FA4"/>
    <w:rsid w:val="00B8632D"/>
    <w:rsid w:val="00B93A5E"/>
    <w:rsid w:val="00B950C6"/>
    <w:rsid w:val="00B973FF"/>
    <w:rsid w:val="00BA00C1"/>
    <w:rsid w:val="00BB10CE"/>
    <w:rsid w:val="00BD0520"/>
    <w:rsid w:val="00BD0EAA"/>
    <w:rsid w:val="00BD1C7F"/>
    <w:rsid w:val="00BD5631"/>
    <w:rsid w:val="00BF3E76"/>
    <w:rsid w:val="00BF5290"/>
    <w:rsid w:val="00C0267F"/>
    <w:rsid w:val="00C03278"/>
    <w:rsid w:val="00C07CDD"/>
    <w:rsid w:val="00C23529"/>
    <w:rsid w:val="00C25025"/>
    <w:rsid w:val="00C37E73"/>
    <w:rsid w:val="00C43073"/>
    <w:rsid w:val="00C663B4"/>
    <w:rsid w:val="00C66666"/>
    <w:rsid w:val="00C80180"/>
    <w:rsid w:val="00C81647"/>
    <w:rsid w:val="00CA189A"/>
    <w:rsid w:val="00CA357A"/>
    <w:rsid w:val="00CA6CC3"/>
    <w:rsid w:val="00CA7BDE"/>
    <w:rsid w:val="00CB40D6"/>
    <w:rsid w:val="00CC55A4"/>
    <w:rsid w:val="00CD2FF4"/>
    <w:rsid w:val="00CD3610"/>
    <w:rsid w:val="00D05A2D"/>
    <w:rsid w:val="00D10D4C"/>
    <w:rsid w:val="00D14AD3"/>
    <w:rsid w:val="00D3325A"/>
    <w:rsid w:val="00D33E85"/>
    <w:rsid w:val="00D3426F"/>
    <w:rsid w:val="00D47B1A"/>
    <w:rsid w:val="00D62AF0"/>
    <w:rsid w:val="00D70871"/>
    <w:rsid w:val="00D876D0"/>
    <w:rsid w:val="00DD0ED8"/>
    <w:rsid w:val="00DD34C3"/>
    <w:rsid w:val="00E0187C"/>
    <w:rsid w:val="00E1052D"/>
    <w:rsid w:val="00E10C18"/>
    <w:rsid w:val="00E14CFE"/>
    <w:rsid w:val="00E17134"/>
    <w:rsid w:val="00E210A5"/>
    <w:rsid w:val="00E44E7D"/>
    <w:rsid w:val="00E46DA7"/>
    <w:rsid w:val="00E56192"/>
    <w:rsid w:val="00E64DF2"/>
    <w:rsid w:val="00E82E69"/>
    <w:rsid w:val="00E84EBF"/>
    <w:rsid w:val="00E9327B"/>
    <w:rsid w:val="00E97E8D"/>
    <w:rsid w:val="00EA3136"/>
    <w:rsid w:val="00EE5EF5"/>
    <w:rsid w:val="00F335DA"/>
    <w:rsid w:val="00F33CF8"/>
    <w:rsid w:val="00F42F2A"/>
    <w:rsid w:val="00F5645C"/>
    <w:rsid w:val="00F74DAA"/>
    <w:rsid w:val="00F91865"/>
    <w:rsid w:val="00FB1A2E"/>
    <w:rsid w:val="00FB6F18"/>
    <w:rsid w:val="00FF1188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CB91"/>
  <w15:chartTrackingRefBased/>
  <w15:docId w15:val="{3F133800-D8F1-DF40-A8E0-ED25051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662619"/>
    <w:pPr>
      <w:pBdr>
        <w:bottom w:val="single" w:sz="4" w:space="1" w:color="auto"/>
      </w:pBdr>
    </w:pPr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F3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92/bjp.177.3.229" TargetMode="External"/><Relationship Id="rId13" Type="http://schemas.openxmlformats.org/officeDocument/2006/relationships/hyperlink" Target="https://doi.org/10.1017/S00332917190031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6/appi.ps.60.4.483" TargetMode="External"/><Relationship Id="rId12" Type="http://schemas.openxmlformats.org/officeDocument/2006/relationships/hyperlink" Target="https://doi.org/10.1017/S0033291707001638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1" Type="http://schemas.openxmlformats.org/officeDocument/2006/relationships/styles" Target="styles.xml"/><Relationship Id="rId6" Type="http://schemas.openxmlformats.org/officeDocument/2006/relationships/hyperlink" Target="https://doi.org/10.1176/appi.ps.201700124" TargetMode="External"/><Relationship Id="rId11" Type="http://schemas.openxmlformats.org/officeDocument/2006/relationships/oleObject" Target="embeddings/Microsoft_Word_97_-_2003_Document.doc"/><Relationship Id="rId5" Type="http://schemas.openxmlformats.org/officeDocument/2006/relationships/hyperlink" Target="https://doi.org/10.1007/s10597-007-9087-6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hyperlink" Target="https://doi.org/10.1080/13651500600885531" TargetMode="External"/><Relationship Id="rId9" Type="http://schemas.openxmlformats.org/officeDocument/2006/relationships/hyperlink" Target="https://doi.org/10.1016/j.psychres.2017.09.089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Perivoliotis</dc:creator>
  <cp:keywords/>
  <dc:description/>
  <cp:lastModifiedBy>Shirley Glynn</cp:lastModifiedBy>
  <cp:revision>2</cp:revision>
  <dcterms:created xsi:type="dcterms:W3CDTF">2021-12-21T03:38:00Z</dcterms:created>
  <dcterms:modified xsi:type="dcterms:W3CDTF">2021-12-21T03:38:00Z</dcterms:modified>
</cp:coreProperties>
</file>